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lastRenderedPageBreak/>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48.75pt" o:ole="">
            <v:imagedata r:id="rId14" o:title=""/>
          </v:shape>
          <o:OLEObject Type="Embed" ProgID="Word.Document.12" ShapeID="_x0000_i1025" DrawAspect="Icon" ObjectID="_1683377867"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5pt;height:48.75pt" o:ole="">
            <v:imagedata r:id="rId16" o:title=""/>
          </v:shape>
          <o:OLEObject Type="Embed" ProgID="Excel.Sheet.12" ShapeID="_x0000_i1026" DrawAspect="Icon" ObjectID="_1683377868" r:id="rId17"/>
        </w:object>
      </w:r>
      <w:r w:rsidR="00A80586">
        <w:rPr>
          <w:rFonts w:ascii="Arial" w:hAnsi="Arial" w:cs="Arial"/>
          <w:b/>
          <w:highlight w:val="yellow"/>
        </w:rPr>
        <w:br w:type="page"/>
      </w:r>
    </w:p>
    <w:p w14:paraId="2B401945" w14:textId="77777777" w:rsidR="009843EE" w:rsidRPr="0088185D" w:rsidRDefault="009843EE" w:rsidP="009843EE">
      <w:pPr>
        <w:widowControl w:val="0"/>
        <w:spacing w:after="200"/>
        <w:ind w:left="0"/>
        <w:jc w:val="left"/>
        <w:rPr>
          <w:rFonts w:ascii="Arial" w:hAnsi="Arial" w:cs="Arial"/>
          <w:color w:val="365F91"/>
          <w:sz w:val="32"/>
        </w:rPr>
      </w:pPr>
      <w:r w:rsidRPr="0088185D">
        <w:rPr>
          <w:rFonts w:ascii="Arial" w:hAnsi="Arial" w:cs="Arial"/>
          <w:color w:val="365F91"/>
          <w:sz w:val="32"/>
        </w:rPr>
        <w:t>Annex C: Contract Package Area</w:t>
      </w:r>
    </w:p>
    <w:p w14:paraId="407D40C9" w14:textId="3258EE2F" w:rsidR="00113572" w:rsidRDefault="00113572" w:rsidP="009843EE">
      <w:pPr>
        <w:widowControl w:val="0"/>
        <w:spacing w:before="200" w:after="200"/>
        <w:ind w:left="0"/>
        <w:jc w:val="left"/>
        <w:rPr>
          <w:rFonts w:ascii="Arial" w:hAnsi="Arial" w:cs="Arial"/>
          <w:b/>
        </w:rPr>
      </w:pPr>
    </w:p>
    <w:tbl>
      <w:tblPr>
        <w:tblW w:w="9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2123"/>
        <w:gridCol w:w="6085"/>
      </w:tblGrid>
      <w:tr w:rsidR="00113572" w:rsidRPr="00113572" w14:paraId="5BEEF0D0" w14:textId="77777777" w:rsidTr="00AB03DC">
        <w:trPr>
          <w:trHeight w:val="285"/>
          <w:jc w:val="center"/>
        </w:trPr>
        <w:tc>
          <w:tcPr>
            <w:tcW w:w="1280" w:type="dxa"/>
            <w:shd w:val="clear" w:color="auto" w:fill="BDD7EE"/>
            <w:noWrap/>
            <w:vAlign w:val="center"/>
            <w:hideMark/>
          </w:tcPr>
          <w:p w14:paraId="2875F8F9" w14:textId="77777777" w:rsidR="00113572" w:rsidRPr="00113572" w:rsidRDefault="00113572" w:rsidP="00113572">
            <w:pPr>
              <w:spacing w:before="120" w:after="120"/>
              <w:ind w:left="0"/>
              <w:jc w:val="center"/>
              <w:rPr>
                <w:rFonts w:ascii="Arial" w:eastAsia="Times New Roman" w:hAnsi="Arial" w:cs="Arial"/>
                <w:b/>
                <w:bCs/>
                <w:color w:val="000000"/>
                <w:sz w:val="24"/>
                <w:szCs w:val="24"/>
                <w:lang w:eastAsia="en-GB"/>
              </w:rPr>
            </w:pPr>
            <w:r w:rsidRPr="00113572">
              <w:rPr>
                <w:rFonts w:ascii="Arial" w:eastAsia="Times New Roman" w:hAnsi="Arial" w:cs="Arial"/>
                <w:b/>
                <w:bCs/>
                <w:color w:val="000000"/>
                <w:sz w:val="24"/>
                <w:szCs w:val="24"/>
                <w:lang w:eastAsia="en-GB"/>
              </w:rPr>
              <w:t>CPA Number</w:t>
            </w:r>
          </w:p>
        </w:tc>
        <w:tc>
          <w:tcPr>
            <w:tcW w:w="2123" w:type="dxa"/>
            <w:shd w:val="clear" w:color="auto" w:fill="BDD7EE"/>
            <w:noWrap/>
            <w:vAlign w:val="bottom"/>
            <w:hideMark/>
          </w:tcPr>
          <w:p w14:paraId="50DD2812" w14:textId="77777777" w:rsidR="00113572" w:rsidRPr="00113572" w:rsidRDefault="00113572" w:rsidP="00113572">
            <w:pPr>
              <w:spacing w:before="120" w:after="120"/>
              <w:ind w:left="0"/>
              <w:jc w:val="left"/>
              <w:rPr>
                <w:rFonts w:ascii="Arial" w:eastAsia="Times New Roman" w:hAnsi="Arial" w:cs="Arial"/>
                <w:b/>
                <w:bCs/>
                <w:color w:val="000000"/>
                <w:sz w:val="24"/>
                <w:szCs w:val="24"/>
                <w:lang w:eastAsia="en-GB"/>
              </w:rPr>
            </w:pPr>
            <w:r w:rsidRPr="00113572">
              <w:rPr>
                <w:rFonts w:ascii="Arial" w:eastAsia="Times New Roman" w:hAnsi="Arial" w:cs="Arial"/>
                <w:b/>
                <w:bCs/>
                <w:color w:val="000000"/>
                <w:sz w:val="24"/>
                <w:szCs w:val="24"/>
                <w:lang w:eastAsia="en-GB"/>
              </w:rPr>
              <w:t>Contract Package Area</w:t>
            </w:r>
          </w:p>
        </w:tc>
        <w:tc>
          <w:tcPr>
            <w:tcW w:w="6085" w:type="dxa"/>
            <w:shd w:val="clear" w:color="auto" w:fill="BDD7EE"/>
            <w:noWrap/>
            <w:vAlign w:val="bottom"/>
            <w:hideMark/>
          </w:tcPr>
          <w:p w14:paraId="4F571C8B" w14:textId="77777777" w:rsidR="00113572" w:rsidRPr="00113572" w:rsidRDefault="00113572" w:rsidP="00113572">
            <w:pPr>
              <w:spacing w:before="120" w:after="120"/>
              <w:ind w:left="0"/>
              <w:jc w:val="left"/>
              <w:rPr>
                <w:rFonts w:ascii="Arial" w:eastAsia="Times New Roman" w:hAnsi="Arial" w:cs="Arial"/>
                <w:b/>
                <w:bCs/>
                <w:color w:val="000000"/>
                <w:sz w:val="24"/>
                <w:szCs w:val="24"/>
                <w:lang w:eastAsia="en-GB"/>
              </w:rPr>
            </w:pPr>
            <w:r w:rsidRPr="00113572">
              <w:rPr>
                <w:rFonts w:ascii="Arial" w:eastAsia="Times New Roman" w:hAnsi="Arial" w:cs="Arial"/>
                <w:b/>
                <w:bCs/>
                <w:color w:val="000000"/>
                <w:sz w:val="24"/>
                <w:szCs w:val="24"/>
                <w:lang w:eastAsia="en-GB"/>
              </w:rPr>
              <w:t>Local Authorities</w:t>
            </w:r>
          </w:p>
        </w:tc>
      </w:tr>
      <w:tr w:rsidR="00113572" w:rsidRPr="00113572" w14:paraId="4A4D091C" w14:textId="77777777" w:rsidTr="00AB03DC">
        <w:trPr>
          <w:trHeight w:val="900"/>
          <w:jc w:val="center"/>
        </w:trPr>
        <w:tc>
          <w:tcPr>
            <w:tcW w:w="1280" w:type="dxa"/>
            <w:shd w:val="clear" w:color="auto" w:fill="D0CECE"/>
            <w:noWrap/>
            <w:vAlign w:val="center"/>
            <w:hideMark/>
          </w:tcPr>
          <w:p w14:paraId="690A20F8" w14:textId="77777777" w:rsidR="00113572" w:rsidRPr="00113572" w:rsidRDefault="00113572" w:rsidP="00113572">
            <w:pPr>
              <w:spacing w:before="120" w:after="120"/>
              <w:ind w:left="0"/>
              <w:jc w:val="center"/>
              <w:rPr>
                <w:rFonts w:ascii="Arial" w:eastAsia="Times New Roman" w:hAnsi="Arial" w:cs="Arial"/>
                <w:b/>
                <w:bCs/>
                <w:color w:val="000000"/>
                <w:sz w:val="24"/>
                <w:szCs w:val="24"/>
                <w:lang w:eastAsia="en-GB"/>
              </w:rPr>
            </w:pPr>
            <w:r w:rsidRPr="00113572">
              <w:rPr>
                <w:rFonts w:ascii="Arial" w:eastAsia="Times New Roman" w:hAnsi="Arial" w:cs="Arial"/>
                <w:b/>
                <w:bCs/>
                <w:color w:val="000000"/>
                <w:sz w:val="24"/>
                <w:szCs w:val="24"/>
                <w:lang w:eastAsia="en-GB"/>
              </w:rPr>
              <w:t>5b</w:t>
            </w:r>
          </w:p>
        </w:tc>
        <w:tc>
          <w:tcPr>
            <w:tcW w:w="2123" w:type="dxa"/>
            <w:shd w:val="clear" w:color="auto" w:fill="D0CECE"/>
            <w:noWrap/>
            <w:vAlign w:val="center"/>
            <w:hideMark/>
          </w:tcPr>
          <w:p w14:paraId="449FAE7F" w14:textId="77777777" w:rsidR="00113572" w:rsidRPr="00113572" w:rsidRDefault="00113572" w:rsidP="00113572">
            <w:pPr>
              <w:spacing w:before="120" w:after="120"/>
              <w:ind w:left="0"/>
              <w:jc w:val="center"/>
              <w:rPr>
                <w:rFonts w:ascii="Arial" w:eastAsia="Times New Roman" w:hAnsi="Arial" w:cs="Arial"/>
                <w:b/>
                <w:bCs/>
                <w:color w:val="000000"/>
                <w:sz w:val="24"/>
                <w:szCs w:val="24"/>
                <w:lang w:eastAsia="en-GB"/>
              </w:rPr>
            </w:pPr>
            <w:r w:rsidRPr="00113572">
              <w:rPr>
                <w:rFonts w:ascii="Arial" w:eastAsia="Times New Roman" w:hAnsi="Arial" w:cs="Arial"/>
                <w:b/>
                <w:bCs/>
                <w:color w:val="000000"/>
                <w:sz w:val="24"/>
                <w:szCs w:val="24"/>
                <w:lang w:eastAsia="en-GB"/>
              </w:rPr>
              <w:t>South and East London</w:t>
            </w:r>
          </w:p>
        </w:tc>
        <w:tc>
          <w:tcPr>
            <w:tcW w:w="6085" w:type="dxa"/>
            <w:shd w:val="clear" w:color="auto" w:fill="auto"/>
            <w:vAlign w:val="center"/>
            <w:hideMark/>
          </w:tcPr>
          <w:p w14:paraId="3CF62743" w14:textId="77777777" w:rsidR="00113572" w:rsidRPr="00113572" w:rsidRDefault="00113572" w:rsidP="00113572">
            <w:pPr>
              <w:spacing w:before="120" w:after="120"/>
              <w:ind w:left="0"/>
              <w:jc w:val="left"/>
              <w:rPr>
                <w:rFonts w:ascii="Arial" w:eastAsia="Times New Roman" w:hAnsi="Arial" w:cs="Arial"/>
                <w:color w:val="222222"/>
                <w:sz w:val="24"/>
                <w:szCs w:val="24"/>
                <w:lang w:eastAsia="en-GB"/>
              </w:rPr>
            </w:pPr>
            <w:r w:rsidRPr="00113572">
              <w:rPr>
                <w:rFonts w:ascii="Arial" w:eastAsia="Times New Roman" w:hAnsi="Arial" w:cs="Arial"/>
                <w:color w:val="222222"/>
                <w:sz w:val="24"/>
                <w:szCs w:val="24"/>
                <w:lang w:eastAsia="en-GB"/>
              </w:rPr>
              <w:t>Barking and Dagenham, Bexley, Bromley, Croydon, Enfield, Greenwich, Havering, Kingston upon Thames, Merton, Newham, Redbridge, Richmond upon Thames, Sutton, Waltham Forest</w:t>
            </w:r>
          </w:p>
        </w:tc>
      </w:tr>
    </w:tbl>
    <w:p w14:paraId="197B73BC" w14:textId="77777777" w:rsidR="00113572" w:rsidRPr="001343F8" w:rsidRDefault="00113572" w:rsidP="00A53784">
      <w:pPr>
        <w:widowControl w:val="0"/>
        <w:spacing w:before="200" w:after="200"/>
        <w:jc w:val="left"/>
        <w:rPr>
          <w:rFonts w:ascii="Arial" w:hAnsi="Arial" w:cs="Arial"/>
          <w:b/>
        </w:rPr>
        <w:sectPr w:rsidR="00113572" w:rsidRPr="001343F8" w:rsidSect="004A0541">
          <w:headerReference w:type="first" r:id="rId18"/>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411AC3CD" w14:textId="122E4BB5" w:rsidR="005D05B4" w:rsidRPr="001A08FE" w:rsidRDefault="005D05B4" w:rsidP="001A08FE">
      <w:pPr>
        <w:pStyle w:val="Body"/>
        <w:widowControl w:val="0"/>
        <w:ind w:left="0"/>
        <w:jc w:val="left"/>
        <w:rPr>
          <w:b/>
        </w:rPr>
      </w:pP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7C08F1D3" w:rsidR="00CB7C6E" w:rsidRPr="00EE3E7B" w:rsidRDefault="00CB7C6E" w:rsidP="002364BF">
            <w:pPr>
              <w:widowControl w:val="0"/>
              <w:ind w:left="0"/>
              <w:jc w:val="left"/>
              <w:rPr>
                <w:rFonts w:ascii="Arial" w:hAnsi="Arial" w:cs="Arial"/>
              </w:rPr>
            </w:pPr>
            <w:r w:rsidRPr="00DD26DF">
              <w:rPr>
                <w:rFonts w:ascii="Arial" w:hAnsi="Arial" w:cs="Arial"/>
                <w:b/>
              </w:rPr>
              <w:t xml:space="preserve">Tender Performance Expectation: </w:t>
            </w:r>
            <w:r w:rsidR="00A80590" w:rsidRPr="00A80590">
              <w:rPr>
                <w:rFonts w:ascii="Arial" w:hAnsi="Arial" w:cs="Arial"/>
                <w:highlight w:val="yellow"/>
              </w:rPr>
              <w:t>[REDACTED]</w:t>
            </w:r>
            <w:r w:rsidR="003454C0" w:rsidRPr="00A80590">
              <w:rPr>
                <w:rFonts w:ascii="Arial" w:hAnsi="Arial" w:cs="Arial"/>
              </w:rPr>
              <w:t>%</w:t>
            </w:r>
            <w:bookmarkStart w:id="6" w:name="_GoBack"/>
            <w:bookmarkEnd w:id="6"/>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tblLook w:val="04A0" w:firstRow="1" w:lastRow="0" w:firstColumn="1" w:lastColumn="0" w:noHBand="0" w:noVBand="1"/>
            </w:tblPr>
            <w:tblGrid>
              <w:gridCol w:w="3725"/>
              <w:gridCol w:w="3725"/>
            </w:tblGrid>
            <w:tr w:rsidR="00CB7C6E" w14:paraId="1AB09464" w14:textId="77777777" w:rsidTr="002364BF">
              <w:tc>
                <w:tcPr>
                  <w:tcW w:w="3725" w:type="dxa"/>
                </w:tcPr>
                <w:p w14:paraId="1CEC2B6A" w14:textId="77777777" w:rsidR="007958E1" w:rsidRDefault="00CB7C6E" w:rsidP="00F77F5E">
                  <w:pPr>
                    <w:widowControl w:val="0"/>
                    <w:spacing w:after="0" w:line="240" w:lineRule="auto"/>
                    <w:ind w:left="0"/>
                    <w:jc w:val="left"/>
                    <w:rPr>
                      <w:rFonts w:ascii="Arial" w:hAnsi="Arial" w:cs="Arial"/>
                      <w:sz w:val="18"/>
                      <w:szCs w:val="18"/>
                    </w:rPr>
                  </w:pPr>
                  <w:r w:rsidRPr="00EE3E7B">
                    <w:rPr>
                      <w:rFonts w:ascii="Arial" w:hAnsi="Arial" w:cs="Arial"/>
                      <w:sz w:val="18"/>
                      <w:szCs w:val="18"/>
                    </w:rPr>
                    <w:t>Months</w:t>
                  </w:r>
                </w:p>
                <w:p w14:paraId="13D4C58D" w14:textId="235BABC8" w:rsidR="004460EB" w:rsidRPr="00EE3E7B" w:rsidRDefault="004460EB" w:rsidP="00F77F5E">
                  <w:pPr>
                    <w:widowControl w:val="0"/>
                    <w:spacing w:after="0" w:line="240" w:lineRule="auto"/>
                    <w:ind w:left="0"/>
                    <w:jc w:val="left"/>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3725" w:type="dxa"/>
                </w:tcPr>
                <w:p w14:paraId="64AB6925" w14:textId="77777777" w:rsidR="00CB7C6E" w:rsidRDefault="00CB7C6E" w:rsidP="00F77F5E">
                  <w:pPr>
                    <w:widowControl w:val="0"/>
                    <w:spacing w:after="0" w:line="240" w:lineRule="auto"/>
                    <w:ind w:left="0"/>
                    <w:jc w:val="left"/>
                    <w:rPr>
                      <w:rFonts w:ascii="Arial" w:hAnsi="Arial" w:cs="Arial"/>
                      <w:sz w:val="18"/>
                      <w:szCs w:val="18"/>
                    </w:rPr>
                  </w:pPr>
                  <w:r w:rsidRPr="00EE3E7B">
                    <w:rPr>
                      <w:rFonts w:ascii="Arial" w:hAnsi="Arial" w:cs="Arial"/>
                      <w:sz w:val="18"/>
                      <w:szCs w:val="18"/>
                    </w:rPr>
                    <w:t>Performance Curve Percentage</w:t>
                  </w:r>
                </w:p>
                <w:p w14:paraId="1EED8FC1" w14:textId="0CE228B0" w:rsidR="00CB7C6E" w:rsidRPr="00EE3E7B" w:rsidRDefault="00CB7C6E" w:rsidP="00F77F5E">
                  <w:pPr>
                    <w:widowControl w:val="0"/>
                    <w:spacing w:after="0" w:line="240" w:lineRule="auto"/>
                    <w:ind w:left="0"/>
                    <w:jc w:val="left"/>
                    <w:rPr>
                      <w:rFonts w:ascii="Arial" w:hAnsi="Arial" w:cs="Arial"/>
                      <w:sz w:val="18"/>
                      <w:szCs w:val="18"/>
                    </w:rPr>
                  </w:pPr>
                </w:p>
              </w:tc>
            </w:tr>
            <w:tr w:rsidR="007B534D" w:rsidRPr="00EE3E7B" w14:paraId="477F87EB" w14:textId="77777777" w:rsidTr="002364BF">
              <w:tc>
                <w:tcPr>
                  <w:tcW w:w="3725" w:type="dxa"/>
                </w:tcPr>
                <w:p w14:paraId="5A3FF303" w14:textId="5FD0DFE7"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w:t>
                  </w:r>
                </w:p>
              </w:tc>
              <w:tc>
                <w:tcPr>
                  <w:tcW w:w="3725" w:type="dxa"/>
                </w:tcPr>
                <w:p w14:paraId="625A9128" w14:textId="75CC9805"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2364BF">
              <w:tc>
                <w:tcPr>
                  <w:tcW w:w="3725" w:type="dxa"/>
                </w:tcPr>
                <w:p w14:paraId="6C003CF4" w14:textId="6D958799"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2</w:t>
                  </w:r>
                </w:p>
              </w:tc>
              <w:tc>
                <w:tcPr>
                  <w:tcW w:w="3725" w:type="dxa"/>
                </w:tcPr>
                <w:p w14:paraId="602F4FBB" w14:textId="44F0F279"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2364BF">
              <w:tc>
                <w:tcPr>
                  <w:tcW w:w="3725" w:type="dxa"/>
                </w:tcPr>
                <w:p w14:paraId="264EAC38" w14:textId="30622905"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3</w:t>
                  </w:r>
                </w:p>
              </w:tc>
              <w:tc>
                <w:tcPr>
                  <w:tcW w:w="3725" w:type="dxa"/>
                </w:tcPr>
                <w:p w14:paraId="3331A833" w14:textId="6A92F322"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2364BF">
              <w:tc>
                <w:tcPr>
                  <w:tcW w:w="3725" w:type="dxa"/>
                </w:tcPr>
                <w:p w14:paraId="62331CF8" w14:textId="0634E84A"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4</w:t>
                  </w:r>
                </w:p>
              </w:tc>
              <w:tc>
                <w:tcPr>
                  <w:tcW w:w="3725" w:type="dxa"/>
                </w:tcPr>
                <w:p w14:paraId="5DEB41EA" w14:textId="22863DC3"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2364BF">
              <w:tc>
                <w:tcPr>
                  <w:tcW w:w="3725" w:type="dxa"/>
                </w:tcPr>
                <w:p w14:paraId="2A9B92D0" w14:textId="65067982"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5</w:t>
                  </w:r>
                </w:p>
              </w:tc>
              <w:tc>
                <w:tcPr>
                  <w:tcW w:w="3725" w:type="dxa"/>
                </w:tcPr>
                <w:p w14:paraId="2D5C0BA9" w14:textId="12FC3696"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2364BF">
              <w:tc>
                <w:tcPr>
                  <w:tcW w:w="3725" w:type="dxa"/>
                </w:tcPr>
                <w:p w14:paraId="64D11051" w14:textId="3765D9B4"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6</w:t>
                  </w:r>
                </w:p>
              </w:tc>
              <w:tc>
                <w:tcPr>
                  <w:tcW w:w="3725" w:type="dxa"/>
                </w:tcPr>
                <w:p w14:paraId="436BEDDC" w14:textId="70C6DCAD"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2364BF">
              <w:tc>
                <w:tcPr>
                  <w:tcW w:w="3725" w:type="dxa"/>
                </w:tcPr>
                <w:p w14:paraId="40E29D42" w14:textId="36CD2023"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7</w:t>
                  </w:r>
                </w:p>
              </w:tc>
              <w:tc>
                <w:tcPr>
                  <w:tcW w:w="3725" w:type="dxa"/>
                </w:tcPr>
                <w:p w14:paraId="50B7D726" w14:textId="180CBDEE"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2364BF">
              <w:tc>
                <w:tcPr>
                  <w:tcW w:w="3725" w:type="dxa"/>
                </w:tcPr>
                <w:p w14:paraId="67A37A2B" w14:textId="5FB68FE2"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8</w:t>
                  </w:r>
                </w:p>
              </w:tc>
              <w:tc>
                <w:tcPr>
                  <w:tcW w:w="3725" w:type="dxa"/>
                </w:tcPr>
                <w:p w14:paraId="0592C447" w14:textId="3BDF0849"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2364BF">
              <w:tc>
                <w:tcPr>
                  <w:tcW w:w="3725" w:type="dxa"/>
                </w:tcPr>
                <w:p w14:paraId="2CD9C4DC" w14:textId="7B66A71C"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9</w:t>
                  </w:r>
                </w:p>
              </w:tc>
              <w:tc>
                <w:tcPr>
                  <w:tcW w:w="3725" w:type="dxa"/>
                </w:tcPr>
                <w:p w14:paraId="3961F8A6" w14:textId="764DB487"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2364BF">
              <w:tc>
                <w:tcPr>
                  <w:tcW w:w="3725" w:type="dxa"/>
                </w:tcPr>
                <w:p w14:paraId="4588758F" w14:textId="4744329F"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10</w:t>
                  </w:r>
                </w:p>
              </w:tc>
              <w:tc>
                <w:tcPr>
                  <w:tcW w:w="3725" w:type="dxa"/>
                </w:tcPr>
                <w:p w14:paraId="1F12B78F" w14:textId="1E13A158"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2364BF">
              <w:tc>
                <w:tcPr>
                  <w:tcW w:w="3725" w:type="dxa"/>
                </w:tcPr>
                <w:p w14:paraId="24A01388" w14:textId="330905F7"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11</w:t>
                  </w:r>
                </w:p>
              </w:tc>
              <w:tc>
                <w:tcPr>
                  <w:tcW w:w="3725" w:type="dxa"/>
                </w:tcPr>
                <w:p w14:paraId="2C1A2073" w14:textId="72218202"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2364BF">
              <w:tc>
                <w:tcPr>
                  <w:tcW w:w="3725" w:type="dxa"/>
                </w:tcPr>
                <w:p w14:paraId="60A8E3D5" w14:textId="35F48658"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12</w:t>
                  </w:r>
                </w:p>
              </w:tc>
              <w:tc>
                <w:tcPr>
                  <w:tcW w:w="3725" w:type="dxa"/>
                </w:tcPr>
                <w:p w14:paraId="4A395AB7" w14:textId="0A858D27"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2364BF">
              <w:tc>
                <w:tcPr>
                  <w:tcW w:w="3725" w:type="dxa"/>
                </w:tcPr>
                <w:p w14:paraId="5D3633C5" w14:textId="793949A3"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13</w:t>
                  </w:r>
                </w:p>
              </w:tc>
              <w:tc>
                <w:tcPr>
                  <w:tcW w:w="3725" w:type="dxa"/>
                </w:tcPr>
                <w:p w14:paraId="036CF415" w14:textId="4084BF8D"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2364BF">
              <w:tc>
                <w:tcPr>
                  <w:tcW w:w="3725" w:type="dxa"/>
                </w:tcPr>
                <w:p w14:paraId="1EA7EA07" w14:textId="7F563B40"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14</w:t>
                  </w:r>
                </w:p>
              </w:tc>
              <w:tc>
                <w:tcPr>
                  <w:tcW w:w="3725" w:type="dxa"/>
                </w:tcPr>
                <w:p w14:paraId="2AC9E34A" w14:textId="3FB54868"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2364BF">
              <w:tc>
                <w:tcPr>
                  <w:tcW w:w="3725" w:type="dxa"/>
                </w:tcPr>
                <w:p w14:paraId="5A624A18" w14:textId="3F0A6396"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15</w:t>
                  </w:r>
                </w:p>
              </w:tc>
              <w:tc>
                <w:tcPr>
                  <w:tcW w:w="3725" w:type="dxa"/>
                </w:tcPr>
                <w:p w14:paraId="07C14F77" w14:textId="28A7A2DC"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2364BF">
              <w:tc>
                <w:tcPr>
                  <w:tcW w:w="3725" w:type="dxa"/>
                </w:tcPr>
                <w:p w14:paraId="12787BC2" w14:textId="2C03901B"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16</w:t>
                  </w:r>
                </w:p>
              </w:tc>
              <w:tc>
                <w:tcPr>
                  <w:tcW w:w="3725" w:type="dxa"/>
                </w:tcPr>
                <w:p w14:paraId="33306FB5" w14:textId="421FAD09"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2364BF">
              <w:tc>
                <w:tcPr>
                  <w:tcW w:w="3725" w:type="dxa"/>
                </w:tcPr>
                <w:p w14:paraId="7CFD1F71" w14:textId="0DA23BE7"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17</w:t>
                  </w:r>
                </w:p>
              </w:tc>
              <w:tc>
                <w:tcPr>
                  <w:tcW w:w="3725" w:type="dxa"/>
                </w:tcPr>
                <w:p w14:paraId="15AC2944" w14:textId="543E0750"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2364BF">
              <w:tc>
                <w:tcPr>
                  <w:tcW w:w="3725" w:type="dxa"/>
                </w:tcPr>
                <w:p w14:paraId="228DB1C7" w14:textId="144CA4C9"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18</w:t>
                  </w:r>
                </w:p>
              </w:tc>
              <w:tc>
                <w:tcPr>
                  <w:tcW w:w="3725" w:type="dxa"/>
                </w:tcPr>
                <w:p w14:paraId="30E9F0F8" w14:textId="6AAB681E"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2364BF">
              <w:tc>
                <w:tcPr>
                  <w:tcW w:w="3725" w:type="dxa"/>
                </w:tcPr>
                <w:p w14:paraId="0F605AF7" w14:textId="7A75AA62" w:rsidR="007B534D" w:rsidRPr="00EE3E7B" w:rsidRDefault="007B534D" w:rsidP="00F77F5E">
                  <w:pPr>
                    <w:widowControl w:val="0"/>
                    <w:spacing w:after="0"/>
                    <w:ind w:left="0"/>
                    <w:jc w:val="center"/>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3725" w:type="dxa"/>
                </w:tcPr>
                <w:p w14:paraId="7E8E6801" w14:textId="4CC641DB"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2364BF">
              <w:tc>
                <w:tcPr>
                  <w:tcW w:w="3725" w:type="dxa"/>
                </w:tcPr>
                <w:p w14:paraId="13B678B8" w14:textId="2A69790A" w:rsidR="007B534D" w:rsidRPr="00EE3E7B" w:rsidRDefault="007B534D" w:rsidP="00F77F5E">
                  <w:pPr>
                    <w:widowControl w:val="0"/>
                    <w:spacing w:after="0"/>
                    <w:ind w:left="0"/>
                    <w:jc w:val="center"/>
                    <w:rPr>
                      <w:rFonts w:ascii="Arial" w:hAnsi="Arial" w:cs="Arial"/>
                      <w:sz w:val="18"/>
                      <w:szCs w:val="18"/>
                    </w:rPr>
                  </w:pPr>
                  <w:r>
                    <w:rPr>
                      <w:rFonts w:ascii="Arial" w:hAnsi="Arial" w:cs="Arial"/>
                      <w:sz w:val="18"/>
                      <w:szCs w:val="18"/>
                    </w:rPr>
                    <w:t>20</w:t>
                  </w:r>
                </w:p>
              </w:tc>
              <w:tc>
                <w:tcPr>
                  <w:tcW w:w="3725" w:type="dxa"/>
                </w:tcPr>
                <w:p w14:paraId="5A41DE78" w14:textId="6CD94B2B"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2364BF">
              <w:tc>
                <w:tcPr>
                  <w:tcW w:w="3725" w:type="dxa"/>
                </w:tcPr>
                <w:p w14:paraId="4A2384BB" w14:textId="191B7517" w:rsidR="007B534D" w:rsidRDefault="007B534D" w:rsidP="00F77F5E">
                  <w:pPr>
                    <w:widowControl w:val="0"/>
                    <w:spacing w:after="0"/>
                    <w:ind w:left="0"/>
                    <w:jc w:val="center"/>
                    <w:rPr>
                      <w:rFonts w:ascii="Arial" w:hAnsi="Arial" w:cs="Arial"/>
                      <w:sz w:val="18"/>
                      <w:szCs w:val="18"/>
                    </w:rPr>
                  </w:pPr>
                  <w:r>
                    <w:rPr>
                      <w:rFonts w:ascii="Arial" w:hAnsi="Arial" w:cs="Arial"/>
                      <w:sz w:val="18"/>
                      <w:szCs w:val="18"/>
                    </w:rPr>
                    <w:t>21</w:t>
                  </w:r>
                </w:p>
              </w:tc>
              <w:tc>
                <w:tcPr>
                  <w:tcW w:w="3725" w:type="dxa"/>
                </w:tcPr>
                <w:p w14:paraId="4FA7DE90" w14:textId="67259DF0" w:rsidR="007B534D" w:rsidRPr="007B534D" w:rsidRDefault="007B534D" w:rsidP="00F77F5E">
                  <w:pPr>
                    <w:widowControl w:val="0"/>
                    <w:spacing w:after="0"/>
                    <w:ind w:left="0"/>
                    <w:jc w:val="center"/>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tblLook w:val="04A0" w:firstRow="1" w:lastRow="0" w:firstColumn="1" w:lastColumn="0" w:noHBand="0" w:noVBand="1"/>
            </w:tblPr>
            <w:tblGrid>
              <w:gridCol w:w="3725"/>
              <w:gridCol w:w="3725"/>
            </w:tblGrid>
            <w:tr w:rsidR="00CB7C6E" w14:paraId="0A220E5F" w14:textId="77777777" w:rsidTr="002364BF">
              <w:tc>
                <w:tcPr>
                  <w:tcW w:w="3725" w:type="dxa"/>
                </w:tcPr>
                <w:p w14:paraId="67B97855" w14:textId="77777777" w:rsidR="004460EB" w:rsidRDefault="00CB7C6E" w:rsidP="00F77F5E">
                  <w:pPr>
                    <w:widowControl w:val="0"/>
                    <w:spacing w:after="0" w:line="240" w:lineRule="auto"/>
                    <w:ind w:left="0"/>
                    <w:jc w:val="left"/>
                    <w:rPr>
                      <w:rFonts w:ascii="Arial" w:hAnsi="Arial" w:cs="Arial"/>
                      <w:sz w:val="18"/>
                      <w:szCs w:val="18"/>
                    </w:rPr>
                  </w:pPr>
                  <w:r w:rsidRPr="00EE3E7B">
                    <w:rPr>
                      <w:rFonts w:ascii="Arial" w:hAnsi="Arial" w:cs="Arial"/>
                      <w:sz w:val="18"/>
                      <w:szCs w:val="18"/>
                    </w:rPr>
                    <w:t>Months</w:t>
                  </w:r>
                </w:p>
                <w:p w14:paraId="653F6718" w14:textId="01F6DD40" w:rsidR="007958E1" w:rsidRPr="00EE3E7B" w:rsidRDefault="004460EB" w:rsidP="00F77F5E">
                  <w:pPr>
                    <w:widowControl w:val="0"/>
                    <w:spacing w:after="0" w:line="240" w:lineRule="auto"/>
                    <w:ind w:left="0"/>
                    <w:jc w:val="left"/>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r w:rsidR="00CB7C6E" w:rsidRPr="00EE3E7B">
                    <w:rPr>
                      <w:rFonts w:ascii="Arial" w:hAnsi="Arial" w:cs="Arial"/>
                      <w:sz w:val="18"/>
                      <w:szCs w:val="18"/>
                    </w:rPr>
                    <w:t xml:space="preserve"> </w:t>
                  </w:r>
                </w:p>
              </w:tc>
              <w:tc>
                <w:tcPr>
                  <w:tcW w:w="3725" w:type="dxa"/>
                </w:tcPr>
                <w:p w14:paraId="4C62ECC5"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Staging Percentage</w:t>
                  </w:r>
                </w:p>
              </w:tc>
            </w:tr>
            <w:tr w:rsidR="00CB7C6E" w14:paraId="671A8159" w14:textId="77777777" w:rsidTr="002364BF">
              <w:tc>
                <w:tcPr>
                  <w:tcW w:w="3725" w:type="dxa"/>
                </w:tcPr>
                <w:p w14:paraId="578E0CF4" w14:textId="77777777" w:rsidR="00CB7C6E" w:rsidRPr="00EE3E7B" w:rsidRDefault="00CB7C6E" w:rsidP="00F77F5E">
                  <w:pPr>
                    <w:widowControl w:val="0"/>
                    <w:spacing w:after="0"/>
                    <w:ind w:left="0"/>
                    <w:jc w:val="center"/>
                    <w:rPr>
                      <w:rFonts w:ascii="Arial" w:hAnsi="Arial" w:cs="Arial"/>
                      <w:sz w:val="18"/>
                      <w:szCs w:val="18"/>
                    </w:rPr>
                  </w:pPr>
                  <w:r w:rsidRPr="00EE3E7B">
                    <w:rPr>
                      <w:rFonts w:ascii="Arial" w:hAnsi="Arial" w:cs="Arial"/>
                      <w:sz w:val="18"/>
                      <w:szCs w:val="18"/>
                    </w:rPr>
                    <w:t>1 – 12</w:t>
                  </w:r>
                </w:p>
              </w:tc>
              <w:tc>
                <w:tcPr>
                  <w:tcW w:w="3725" w:type="dxa"/>
                </w:tcPr>
                <w:p w14:paraId="7F93E08D" w14:textId="77777777" w:rsidR="00CB7C6E" w:rsidRPr="00EE3E7B" w:rsidRDefault="00CB7C6E" w:rsidP="00F77F5E">
                  <w:pPr>
                    <w:widowControl w:val="0"/>
                    <w:spacing w:after="0"/>
                    <w:ind w:left="0"/>
                    <w:jc w:val="center"/>
                    <w:rPr>
                      <w:rFonts w:ascii="Arial" w:hAnsi="Arial" w:cs="Arial"/>
                      <w:sz w:val="18"/>
                      <w:szCs w:val="18"/>
                    </w:rPr>
                  </w:pPr>
                  <w:r w:rsidRPr="00EE3E7B">
                    <w:rPr>
                      <w:rFonts w:ascii="Arial" w:hAnsi="Arial" w:cs="Arial"/>
                      <w:sz w:val="18"/>
                      <w:szCs w:val="18"/>
                    </w:rPr>
                    <w:t>85%</w:t>
                  </w:r>
                </w:p>
              </w:tc>
            </w:tr>
            <w:tr w:rsidR="00CB7C6E" w14:paraId="30E66E75" w14:textId="77777777" w:rsidTr="002364BF">
              <w:tc>
                <w:tcPr>
                  <w:tcW w:w="3725" w:type="dxa"/>
                </w:tcPr>
                <w:p w14:paraId="7EE1248C" w14:textId="77777777" w:rsidR="00CB7C6E" w:rsidRPr="00EE3E7B" w:rsidRDefault="00CB7C6E" w:rsidP="00F77F5E">
                  <w:pPr>
                    <w:widowControl w:val="0"/>
                    <w:spacing w:after="0"/>
                    <w:ind w:left="0"/>
                    <w:jc w:val="center"/>
                    <w:rPr>
                      <w:rFonts w:ascii="Arial" w:hAnsi="Arial" w:cs="Arial"/>
                      <w:sz w:val="18"/>
                      <w:szCs w:val="18"/>
                    </w:rPr>
                  </w:pPr>
                  <w:r w:rsidRPr="00EE3E7B">
                    <w:rPr>
                      <w:rFonts w:ascii="Arial" w:hAnsi="Arial" w:cs="Arial"/>
                      <w:sz w:val="18"/>
                      <w:szCs w:val="18"/>
                    </w:rPr>
                    <w:t>13 – 24</w:t>
                  </w:r>
                </w:p>
              </w:tc>
              <w:tc>
                <w:tcPr>
                  <w:tcW w:w="3725" w:type="dxa"/>
                </w:tcPr>
                <w:p w14:paraId="1E43FA4F" w14:textId="77777777" w:rsidR="00CB7C6E" w:rsidRPr="00EE3E7B" w:rsidRDefault="00CB7C6E" w:rsidP="00F77F5E">
                  <w:pPr>
                    <w:widowControl w:val="0"/>
                    <w:spacing w:after="0"/>
                    <w:ind w:left="0"/>
                    <w:jc w:val="center"/>
                    <w:rPr>
                      <w:rFonts w:ascii="Arial" w:hAnsi="Arial" w:cs="Arial"/>
                      <w:sz w:val="18"/>
                      <w:szCs w:val="18"/>
                    </w:rPr>
                  </w:pPr>
                  <w:r w:rsidRPr="00EE3E7B">
                    <w:rPr>
                      <w:rFonts w:ascii="Arial" w:hAnsi="Arial" w:cs="Arial"/>
                      <w:sz w:val="18"/>
                      <w:szCs w:val="18"/>
                    </w:rPr>
                    <w:t>90%</w:t>
                  </w:r>
                </w:p>
              </w:tc>
            </w:tr>
            <w:tr w:rsidR="00CB7C6E" w14:paraId="7C83A1F3" w14:textId="77777777" w:rsidTr="002364BF">
              <w:tc>
                <w:tcPr>
                  <w:tcW w:w="3725" w:type="dxa"/>
                </w:tcPr>
                <w:p w14:paraId="13285C78" w14:textId="77777777" w:rsidR="00CB7C6E" w:rsidRPr="00EE3E7B" w:rsidRDefault="00CB7C6E" w:rsidP="00F77F5E">
                  <w:pPr>
                    <w:widowControl w:val="0"/>
                    <w:spacing w:after="0"/>
                    <w:ind w:left="0"/>
                    <w:jc w:val="center"/>
                    <w:rPr>
                      <w:rFonts w:ascii="Arial" w:hAnsi="Arial" w:cs="Arial"/>
                      <w:sz w:val="18"/>
                      <w:szCs w:val="18"/>
                    </w:rPr>
                  </w:pPr>
                  <w:r w:rsidRPr="00EE3E7B">
                    <w:rPr>
                      <w:rFonts w:ascii="Arial" w:hAnsi="Arial" w:cs="Arial"/>
                      <w:sz w:val="18"/>
                      <w:szCs w:val="18"/>
                    </w:rPr>
                    <w:t>25 – 36</w:t>
                  </w:r>
                </w:p>
              </w:tc>
              <w:tc>
                <w:tcPr>
                  <w:tcW w:w="3725" w:type="dxa"/>
                </w:tcPr>
                <w:p w14:paraId="0E701288" w14:textId="77777777" w:rsidR="00CB7C6E" w:rsidRPr="00EE3E7B" w:rsidRDefault="00CB7C6E" w:rsidP="00F77F5E">
                  <w:pPr>
                    <w:widowControl w:val="0"/>
                    <w:spacing w:after="0"/>
                    <w:ind w:left="0"/>
                    <w:jc w:val="center"/>
                    <w:rPr>
                      <w:rFonts w:ascii="Arial" w:hAnsi="Arial" w:cs="Arial"/>
                      <w:sz w:val="18"/>
                      <w:szCs w:val="18"/>
                    </w:rPr>
                  </w:pPr>
                  <w:r w:rsidRPr="00EE3E7B">
                    <w:rPr>
                      <w:rFonts w:ascii="Arial" w:hAnsi="Arial" w:cs="Arial"/>
                      <w:sz w:val="18"/>
                      <w:szCs w:val="18"/>
                    </w:rPr>
                    <w:t>100%</w:t>
                  </w:r>
                </w:p>
              </w:tc>
            </w:tr>
            <w:tr w:rsidR="00CB7C6E" w14:paraId="2C619E33" w14:textId="77777777" w:rsidTr="002364BF">
              <w:tc>
                <w:tcPr>
                  <w:tcW w:w="3725" w:type="dxa"/>
                </w:tcPr>
                <w:p w14:paraId="60E8F078" w14:textId="77777777" w:rsidR="00CB7C6E" w:rsidRPr="00EE3E7B" w:rsidRDefault="00CB7C6E" w:rsidP="00F77F5E">
                  <w:pPr>
                    <w:widowControl w:val="0"/>
                    <w:spacing w:after="0"/>
                    <w:ind w:left="0"/>
                    <w:jc w:val="center"/>
                    <w:rPr>
                      <w:rFonts w:ascii="Arial" w:hAnsi="Arial" w:cs="Arial"/>
                      <w:sz w:val="18"/>
                      <w:szCs w:val="18"/>
                    </w:rPr>
                  </w:pPr>
                  <w:r w:rsidRPr="00EE3E7B">
                    <w:rPr>
                      <w:rFonts w:ascii="Arial" w:hAnsi="Arial" w:cs="Arial"/>
                      <w:sz w:val="18"/>
                      <w:szCs w:val="18"/>
                    </w:rPr>
                    <w:t>37 – 48</w:t>
                  </w:r>
                </w:p>
              </w:tc>
              <w:tc>
                <w:tcPr>
                  <w:tcW w:w="3725" w:type="dxa"/>
                </w:tcPr>
                <w:p w14:paraId="635E1BE9" w14:textId="77777777" w:rsidR="00CB7C6E" w:rsidRPr="00EE3E7B" w:rsidRDefault="00CB7C6E" w:rsidP="00F77F5E">
                  <w:pPr>
                    <w:widowControl w:val="0"/>
                    <w:spacing w:after="0"/>
                    <w:ind w:left="0"/>
                    <w:jc w:val="center"/>
                    <w:rPr>
                      <w:rFonts w:ascii="Arial" w:hAnsi="Arial" w:cs="Arial"/>
                      <w:sz w:val="18"/>
                      <w:szCs w:val="18"/>
                    </w:rPr>
                  </w:pPr>
                  <w:r w:rsidRPr="00EE3E7B">
                    <w:rPr>
                      <w:rFonts w:ascii="Arial" w:hAnsi="Arial" w:cs="Arial"/>
                      <w:sz w:val="18"/>
                      <w:szCs w:val="18"/>
                    </w:rPr>
                    <w:t>115%</w:t>
                  </w:r>
                </w:p>
              </w:tc>
            </w:tr>
            <w:tr w:rsidR="00CB7C6E" w14:paraId="2622CA05" w14:textId="77777777" w:rsidTr="002364BF">
              <w:tc>
                <w:tcPr>
                  <w:tcW w:w="3725" w:type="dxa"/>
                </w:tcPr>
                <w:p w14:paraId="37FEDB3A" w14:textId="77777777" w:rsidR="00CB7C6E" w:rsidRPr="00EE3E7B" w:rsidRDefault="00CB7C6E" w:rsidP="00F77F5E">
                  <w:pPr>
                    <w:widowControl w:val="0"/>
                    <w:spacing w:after="0"/>
                    <w:ind w:left="0"/>
                    <w:jc w:val="center"/>
                    <w:rPr>
                      <w:rFonts w:ascii="Arial" w:hAnsi="Arial" w:cs="Arial"/>
                      <w:sz w:val="18"/>
                      <w:szCs w:val="18"/>
                    </w:rPr>
                  </w:pPr>
                  <w:r w:rsidRPr="00EE3E7B">
                    <w:rPr>
                      <w:rFonts w:ascii="Arial" w:hAnsi="Arial" w:cs="Arial"/>
                      <w:sz w:val="18"/>
                      <w:szCs w:val="18"/>
                    </w:rPr>
                    <w:t>49 – 60</w:t>
                  </w:r>
                </w:p>
              </w:tc>
              <w:tc>
                <w:tcPr>
                  <w:tcW w:w="3725" w:type="dxa"/>
                </w:tcPr>
                <w:p w14:paraId="472D0B99" w14:textId="77777777" w:rsidR="00CB7C6E" w:rsidRPr="00EE3E7B" w:rsidRDefault="00CB7C6E" w:rsidP="00F77F5E">
                  <w:pPr>
                    <w:widowControl w:val="0"/>
                    <w:spacing w:after="0"/>
                    <w:ind w:left="0"/>
                    <w:jc w:val="center"/>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88185D">
      <w:pPr>
        <w:pStyle w:val="SchdLevel2"/>
        <w:widowControl w:val="0"/>
        <w:tabs>
          <w:tab w:val="clear" w:pos="720"/>
        </w:tabs>
        <w:ind w:left="851" w:hanging="851"/>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7" w:name="_DV_M1517"/>
      <w:bookmarkStart w:id="8" w:name="_DV_M1518"/>
      <w:bookmarkStart w:id="9" w:name="_DV_M1519"/>
      <w:bookmarkStart w:id="10" w:name="_DV_M1520"/>
      <w:bookmarkStart w:id="11" w:name="_DV_M1521"/>
      <w:bookmarkStart w:id="12" w:name="_DV_M1522"/>
      <w:bookmarkStart w:id="13" w:name="_DV_M1523"/>
      <w:bookmarkStart w:id="14" w:name="_DV_M1524"/>
      <w:bookmarkStart w:id="15" w:name="_DV_M1525"/>
      <w:bookmarkStart w:id="16" w:name="_DV_M1526"/>
      <w:bookmarkStart w:id="17" w:name="_DV_M1527"/>
      <w:bookmarkStart w:id="18" w:name="_DV_M1528"/>
      <w:bookmarkStart w:id="19" w:name="_Ref464813518"/>
      <w:bookmarkEnd w:id="7"/>
      <w:bookmarkEnd w:id="8"/>
      <w:bookmarkEnd w:id="9"/>
      <w:bookmarkEnd w:id="10"/>
      <w:bookmarkEnd w:id="11"/>
      <w:bookmarkEnd w:id="12"/>
      <w:bookmarkEnd w:id="13"/>
      <w:bookmarkEnd w:id="14"/>
      <w:bookmarkEnd w:id="15"/>
      <w:bookmarkEnd w:id="16"/>
      <w:bookmarkEnd w:id="17"/>
      <w:bookmarkEnd w:id="18"/>
      <w:r w:rsidRPr="0088185D">
        <w:rPr>
          <w:rFonts w:cs="Arial"/>
          <w:b w:val="0"/>
          <w:color w:val="365F91"/>
          <w:sz w:val="32"/>
          <w:szCs w:val="22"/>
        </w:rPr>
        <w:t>Customer Service Standards</w:t>
      </w:r>
      <w:bookmarkEnd w:id="19"/>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4A21D033" w14:textId="666BDD61" w:rsidR="005D05B4" w:rsidRPr="001343F8" w:rsidRDefault="005D05B4" w:rsidP="00F77F5E">
            <w:pPr>
              <w:widowControl w:val="0"/>
              <w:jc w:val="left"/>
              <w:rPr>
                <w:rFonts w:ascii="Arial" w:hAnsi="Arial" w:cs="Arial"/>
                <w:b/>
              </w:rPr>
            </w:pPr>
            <w:r w:rsidRPr="00C6654E">
              <w:rPr>
                <w:rFonts w:ascii="Arial" w:hAnsi="Arial" w:cs="Arial"/>
                <w:b/>
              </w:rPr>
              <w:t>CUSTOMER SERVICE STANDARDS</w:t>
            </w: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7: For all Participants the Provider must review and update the SMART Action Plan no less frequently than every 4 weeks. Action Plans must be signed by both parties and include agreed next steps and activities reflective of Participant and Provider 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11387CFE" w14:textId="77777777" w:rsidR="005D05B4" w:rsidRPr="001343F8" w:rsidRDefault="005D05B4" w:rsidP="00A53784">
      <w:pPr>
        <w:widowControl w:val="0"/>
        <w:spacing w:after="220"/>
        <w:ind w:left="851" w:hanging="851"/>
        <w:jc w:val="left"/>
        <w:rPr>
          <w:rFonts w:ascii="Arial" w:hAnsi="Arial" w:cs="Arial"/>
          <w:b/>
        </w:rPr>
      </w:pP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On completion of each review by the Authority, the Supplier will be awarded an assurance 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timescale for a subsequent review is determined at the sole discretion of the 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A80590"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19"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20"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20"/>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8911"/>
      </w:tblGrid>
      <w:tr w:rsidR="005D05B4" w:rsidRPr="00741476" w14:paraId="69863BC2" w14:textId="77777777" w:rsidTr="00E2521C">
        <w:tc>
          <w:tcPr>
            <w:tcW w:w="9242" w:type="dxa"/>
          </w:tcPr>
          <w:p w14:paraId="050A0838" w14:textId="72EAEE42" w:rsidR="005D05B4" w:rsidRPr="00741476" w:rsidRDefault="005D05B4" w:rsidP="00F77F5E">
            <w:pPr>
              <w:widowControl w:val="0"/>
              <w:spacing w:after="0" w:line="240" w:lineRule="auto"/>
              <w:jc w:val="left"/>
              <w:rPr>
                <w:rFonts w:ascii="Arial" w:hAnsi="Arial" w:cs="Arial"/>
                <w:b/>
              </w:rPr>
            </w:pPr>
            <w:r w:rsidRPr="00741476">
              <w:rPr>
                <w:rFonts w:ascii="Arial" w:hAnsi="Arial" w:cs="Arial"/>
                <w:b/>
              </w:rPr>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43095BEA" w14:textId="596AA41E" w:rsidR="005D05B4" w:rsidRDefault="005D05B4" w:rsidP="00F77F5E">
            <w:pPr>
              <w:pStyle w:val="SchdLevel1Heading"/>
              <w:keepNext w:val="0"/>
              <w:widowControl w:val="0"/>
              <w:numPr>
                <w:ilvl w:val="0"/>
                <w:numId w:val="0"/>
              </w:numPr>
              <w:spacing w:after="0" w:line="240" w:lineRule="auto"/>
              <w:ind w:left="360"/>
              <w:jc w:val="left"/>
              <w:rPr>
                <w:rFonts w:cs="Arial"/>
                <w:sz w:val="22"/>
                <w:szCs w:val="22"/>
              </w:rPr>
            </w:pPr>
          </w:p>
          <w:p w14:paraId="6CEA09C8" w14:textId="468AD027" w:rsidR="0018280B" w:rsidRPr="0018280B" w:rsidRDefault="0018280B" w:rsidP="00F77F5E">
            <w:pPr>
              <w:pStyle w:val="ListParagraph"/>
              <w:numPr>
                <w:ilvl w:val="0"/>
                <w:numId w:val="101"/>
              </w:numPr>
              <w:spacing w:after="0" w:line="240" w:lineRule="auto"/>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2F6C782E" w:rsidR="00F77F5E" w:rsidRDefault="00F77F5E" w:rsidP="00A53784">
      <w:pPr>
        <w:widowControl w:val="0"/>
        <w:spacing w:after="220"/>
        <w:ind w:left="720" w:hanging="720"/>
        <w:jc w:val="left"/>
        <w:rPr>
          <w:rFonts w:ascii="Arial" w:hAnsi="Arial" w:cs="Arial"/>
        </w:rPr>
      </w:pPr>
    </w:p>
    <w:p w14:paraId="6F4B367A" w14:textId="77777777" w:rsidR="00F77F5E" w:rsidRDefault="00F77F5E">
      <w:pPr>
        <w:spacing w:after="0"/>
        <w:ind w:left="0"/>
        <w:jc w:val="left"/>
        <w:rPr>
          <w:rFonts w:ascii="Arial" w:hAnsi="Arial" w:cs="Arial"/>
        </w:rPr>
      </w:pPr>
      <w:r>
        <w:rPr>
          <w:rFonts w:ascii="Arial" w:hAnsi="Arial" w:cs="Arial"/>
        </w:rPr>
        <w:br w:type="page"/>
      </w: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788" w:type="dxa"/>
        <w:tblInd w:w="851" w:type="dxa"/>
        <w:tblLook w:val="04A0" w:firstRow="1" w:lastRow="0" w:firstColumn="1" w:lastColumn="0" w:noHBand="0" w:noVBand="1"/>
      </w:tblPr>
      <w:tblGrid>
        <w:gridCol w:w="2121"/>
        <w:gridCol w:w="6667"/>
      </w:tblGrid>
      <w:tr w:rsidR="00CA2E48" w14:paraId="1E10A0FA" w14:textId="77777777" w:rsidTr="00F77F5E">
        <w:trPr>
          <w:tblHeader/>
        </w:trPr>
        <w:tc>
          <w:tcPr>
            <w:tcW w:w="2121" w:type="dxa"/>
          </w:tcPr>
          <w:p w14:paraId="41C08E48" w14:textId="0ED93D9C" w:rsidR="00CA2E48" w:rsidRPr="006579B1" w:rsidRDefault="00CA2E48" w:rsidP="00F77F5E">
            <w:pPr>
              <w:pStyle w:val="SchdLevel1Heading"/>
              <w:keepNext w:val="0"/>
              <w:widowControl w:val="0"/>
              <w:numPr>
                <w:ilvl w:val="0"/>
                <w:numId w:val="0"/>
              </w:numPr>
              <w:spacing w:before="60" w:after="60" w:line="240" w:lineRule="auto"/>
              <w:jc w:val="center"/>
              <w:rPr>
                <w:rFonts w:cs="Arial"/>
                <w:sz w:val="22"/>
                <w:szCs w:val="22"/>
              </w:rPr>
            </w:pPr>
            <w:r w:rsidRPr="006579B1">
              <w:rPr>
                <w:rFonts w:cs="Arial"/>
                <w:sz w:val="22"/>
                <w:szCs w:val="22"/>
              </w:rPr>
              <w:t>Delivery Fee Month</w:t>
            </w:r>
          </w:p>
        </w:tc>
        <w:tc>
          <w:tcPr>
            <w:tcW w:w="6667" w:type="dxa"/>
          </w:tcPr>
          <w:p w14:paraId="131F4A08" w14:textId="5F441209" w:rsidR="00CA2E48" w:rsidRPr="006579B1" w:rsidRDefault="00CA2E48" w:rsidP="00F77F5E">
            <w:pPr>
              <w:pStyle w:val="SchdLevel1Heading"/>
              <w:keepNext w:val="0"/>
              <w:widowControl w:val="0"/>
              <w:numPr>
                <w:ilvl w:val="0"/>
                <w:numId w:val="0"/>
              </w:numPr>
              <w:spacing w:before="60" w:after="60" w:line="240" w:lineRule="auto"/>
              <w:jc w:val="left"/>
              <w:rPr>
                <w:rFonts w:cs="Arial"/>
                <w:sz w:val="22"/>
                <w:szCs w:val="22"/>
              </w:rPr>
            </w:pPr>
            <w:r w:rsidRPr="006579B1">
              <w:rPr>
                <w:rFonts w:cs="Arial"/>
                <w:sz w:val="22"/>
                <w:szCs w:val="22"/>
              </w:rPr>
              <w:t>Delivery Fee Standard</w:t>
            </w:r>
          </w:p>
        </w:tc>
      </w:tr>
      <w:tr w:rsidR="00CA2E48" w14:paraId="35EC7E88" w14:textId="77777777" w:rsidTr="00F77F5E">
        <w:tc>
          <w:tcPr>
            <w:tcW w:w="2121" w:type="dxa"/>
          </w:tcPr>
          <w:p w14:paraId="7EFC49D8" w14:textId="0A05A4A1"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1</w:t>
            </w:r>
          </w:p>
        </w:tc>
        <w:tc>
          <w:tcPr>
            <w:tcW w:w="6667" w:type="dxa"/>
          </w:tcPr>
          <w:p w14:paraId="2FA9D80F" w14:textId="6514B284"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sidR="00CA2E48">
              <w:rPr>
                <w:rFonts w:cs="Arial"/>
                <w:b w:val="0"/>
                <w:sz w:val="22"/>
                <w:szCs w:val="22"/>
              </w:rPr>
              <w:t xml:space="preserve"> </w:t>
            </w:r>
            <w:r w:rsidR="00CA2E48" w:rsidRPr="008F7289">
              <w:rPr>
                <w:rFonts w:cs="Arial"/>
                <w:b w:val="0"/>
                <w:sz w:val="22"/>
                <w:szCs w:val="22"/>
              </w:rPr>
              <w:t>Supplier and Sub-contractor FTE used in the delivery of the Agreement, per the Supplier’s declared staffing levels</w:t>
            </w:r>
          </w:p>
        </w:tc>
      </w:tr>
      <w:tr w:rsidR="00CA2E48" w14:paraId="7A88F0EE" w14:textId="77777777" w:rsidTr="00F77F5E">
        <w:tc>
          <w:tcPr>
            <w:tcW w:w="2121" w:type="dxa"/>
          </w:tcPr>
          <w:p w14:paraId="4CBEFBED" w14:textId="1A92DFD5"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2</w:t>
            </w:r>
          </w:p>
        </w:tc>
        <w:tc>
          <w:tcPr>
            <w:tcW w:w="6667" w:type="dxa"/>
          </w:tcPr>
          <w:p w14:paraId="55D388BD" w14:textId="479FD660"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sidR="00CA2E48" w:rsidRPr="008F7289">
              <w:rPr>
                <w:rFonts w:cs="Arial"/>
                <w:b w:val="0"/>
                <w:sz w:val="22"/>
                <w:szCs w:val="22"/>
              </w:rPr>
              <w:t xml:space="preserve"> Supplier and Sub-contractor FTE used in the delivery of the Agreement, per the Supplier’s declared staffing levels </w:t>
            </w:r>
          </w:p>
        </w:tc>
      </w:tr>
      <w:tr w:rsidR="00CA2E48" w14:paraId="13B15CEE" w14:textId="77777777" w:rsidTr="00F77F5E">
        <w:tc>
          <w:tcPr>
            <w:tcW w:w="2121" w:type="dxa"/>
          </w:tcPr>
          <w:p w14:paraId="728FD1F8" w14:textId="08ED0368"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3</w:t>
            </w:r>
          </w:p>
        </w:tc>
        <w:tc>
          <w:tcPr>
            <w:tcW w:w="6667" w:type="dxa"/>
          </w:tcPr>
          <w:p w14:paraId="12770C82" w14:textId="0A909265"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Pr>
                <w:rFonts w:cs="Arial"/>
                <w:b w:val="0"/>
                <w:sz w:val="22"/>
                <w:szCs w:val="22"/>
              </w:rPr>
              <w:t xml:space="preserve"> </w:t>
            </w:r>
            <w:r w:rsidR="00CA2E48" w:rsidRPr="008F7289">
              <w:rPr>
                <w:rFonts w:cs="Arial"/>
                <w:b w:val="0"/>
                <w:sz w:val="22"/>
                <w:szCs w:val="22"/>
              </w:rPr>
              <w:t xml:space="preserve"> Supplier and Sub-contractor FTE used in the delivery of the Agreement, per the Supplier’s declared staffing levels </w:t>
            </w:r>
          </w:p>
        </w:tc>
      </w:tr>
      <w:tr w:rsidR="00CA2E48" w14:paraId="7B9F7B24" w14:textId="77777777" w:rsidTr="00F77F5E">
        <w:tc>
          <w:tcPr>
            <w:tcW w:w="2121" w:type="dxa"/>
          </w:tcPr>
          <w:p w14:paraId="1646D28E" w14:textId="394760C3"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softHyphen/>
              <w:t>4</w:t>
            </w:r>
          </w:p>
        </w:tc>
        <w:tc>
          <w:tcPr>
            <w:tcW w:w="6667" w:type="dxa"/>
          </w:tcPr>
          <w:p w14:paraId="36085EFD" w14:textId="2A1946EC"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sidR="00CA2E48" w:rsidRPr="008F7289">
              <w:rPr>
                <w:rFonts w:cs="Arial"/>
                <w:b w:val="0"/>
                <w:sz w:val="22"/>
                <w:szCs w:val="22"/>
              </w:rPr>
              <w:t xml:space="preserve"> Supplier and Sub-contractor FTE used in the delivery of the Agreement, per the Supplier’s declared staffing levels </w:t>
            </w:r>
          </w:p>
        </w:tc>
      </w:tr>
      <w:tr w:rsidR="00CA2E48" w14:paraId="12A12CDA" w14:textId="77777777" w:rsidTr="00F77F5E">
        <w:tc>
          <w:tcPr>
            <w:tcW w:w="2121" w:type="dxa"/>
          </w:tcPr>
          <w:p w14:paraId="3044164E" w14:textId="660D5AAF"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5</w:t>
            </w:r>
          </w:p>
        </w:tc>
        <w:tc>
          <w:tcPr>
            <w:tcW w:w="6667" w:type="dxa"/>
          </w:tcPr>
          <w:p w14:paraId="3F187C7D" w14:textId="2073C376"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sidR="00CA2E48" w:rsidRPr="008F7289">
              <w:rPr>
                <w:rFonts w:cs="Arial"/>
                <w:b w:val="0"/>
                <w:sz w:val="22"/>
                <w:szCs w:val="22"/>
              </w:rPr>
              <w:t xml:space="preserve"> Supplier and Sub-contractor FTE used in the delivery of the Agreement, per the Supplier’s declared staffing levels </w:t>
            </w:r>
          </w:p>
        </w:tc>
      </w:tr>
      <w:tr w:rsidR="00CA2E48" w14:paraId="41675844" w14:textId="77777777" w:rsidTr="00F77F5E">
        <w:tc>
          <w:tcPr>
            <w:tcW w:w="2121" w:type="dxa"/>
          </w:tcPr>
          <w:p w14:paraId="4C4258DF" w14:textId="020478AB"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6</w:t>
            </w:r>
          </w:p>
        </w:tc>
        <w:tc>
          <w:tcPr>
            <w:tcW w:w="6667" w:type="dxa"/>
          </w:tcPr>
          <w:p w14:paraId="28584D43" w14:textId="05A31D3C"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Pr>
                <w:rFonts w:cs="Arial"/>
                <w:b w:val="0"/>
                <w:sz w:val="22"/>
                <w:szCs w:val="22"/>
              </w:rPr>
              <w:t xml:space="preserve"> </w:t>
            </w:r>
            <w:r w:rsidR="00CA2E48" w:rsidRPr="008F7289">
              <w:rPr>
                <w:rFonts w:cs="Arial"/>
                <w:b w:val="0"/>
                <w:sz w:val="22"/>
                <w:szCs w:val="22"/>
              </w:rPr>
              <w:t xml:space="preserve"> Supplier and Sub-contractor FTE used in the delivery of the Agreement, per the Supplier’s declared staffing levels</w:t>
            </w:r>
          </w:p>
        </w:tc>
      </w:tr>
      <w:tr w:rsidR="00CA2E48" w14:paraId="26238F54" w14:textId="77777777" w:rsidTr="00F77F5E">
        <w:tc>
          <w:tcPr>
            <w:tcW w:w="2121" w:type="dxa"/>
          </w:tcPr>
          <w:p w14:paraId="34B1F07C" w14:textId="0D481037"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7</w:t>
            </w:r>
          </w:p>
        </w:tc>
        <w:tc>
          <w:tcPr>
            <w:tcW w:w="6667" w:type="dxa"/>
          </w:tcPr>
          <w:p w14:paraId="29639F56" w14:textId="144A5465"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Pr>
                <w:rFonts w:cs="Arial"/>
                <w:b w:val="0"/>
                <w:sz w:val="22"/>
                <w:szCs w:val="22"/>
              </w:rPr>
              <w:t xml:space="preserve"> </w:t>
            </w:r>
            <w:r w:rsidR="00CA2E48" w:rsidRPr="008F7289">
              <w:rPr>
                <w:rFonts w:cs="Arial"/>
                <w:b w:val="0"/>
                <w:sz w:val="22"/>
                <w:szCs w:val="22"/>
              </w:rPr>
              <w:t xml:space="preserve"> Supplier and Sub-contractor FTE used in the delivery of the Agreement, per the Supplier’s declared staffing levels </w:t>
            </w:r>
          </w:p>
        </w:tc>
      </w:tr>
      <w:tr w:rsidR="00CA2E48" w:rsidRPr="00380877" w14:paraId="10B13011" w14:textId="77777777" w:rsidTr="00F77F5E">
        <w:tc>
          <w:tcPr>
            <w:tcW w:w="2121" w:type="dxa"/>
          </w:tcPr>
          <w:p w14:paraId="753579F2" w14:textId="0BD5AA1D"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8</w:t>
            </w:r>
          </w:p>
        </w:tc>
        <w:tc>
          <w:tcPr>
            <w:tcW w:w="6667" w:type="dxa"/>
          </w:tcPr>
          <w:p w14:paraId="1F94208B" w14:textId="62FC9C6A"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Pr>
                <w:rFonts w:cs="Arial"/>
                <w:b w:val="0"/>
                <w:sz w:val="22"/>
                <w:szCs w:val="22"/>
              </w:rPr>
              <w:t xml:space="preserve"> </w:t>
            </w:r>
            <w:r w:rsidR="00CA2E48" w:rsidRPr="008F7289">
              <w:rPr>
                <w:rFonts w:cs="Arial"/>
                <w:b w:val="0"/>
                <w:sz w:val="22"/>
                <w:szCs w:val="22"/>
              </w:rPr>
              <w:t xml:space="preserve"> Supplier and Sub-contractor FTE used in the delivery of the Agreement, per the Supplier’s declared staffing levels </w:t>
            </w:r>
          </w:p>
        </w:tc>
      </w:tr>
      <w:tr w:rsidR="00CA2E48" w:rsidRPr="00380877" w14:paraId="134A6171" w14:textId="77777777" w:rsidTr="00F77F5E">
        <w:tc>
          <w:tcPr>
            <w:tcW w:w="2121" w:type="dxa"/>
          </w:tcPr>
          <w:p w14:paraId="788DBF29" w14:textId="5FEB2D29"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9</w:t>
            </w:r>
          </w:p>
        </w:tc>
        <w:tc>
          <w:tcPr>
            <w:tcW w:w="6667" w:type="dxa"/>
          </w:tcPr>
          <w:p w14:paraId="70EB7091" w14:textId="7B4084C1"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Pr>
                <w:rFonts w:cs="Arial"/>
                <w:b w:val="0"/>
                <w:sz w:val="22"/>
                <w:szCs w:val="22"/>
              </w:rPr>
              <w:t xml:space="preserve"> </w:t>
            </w:r>
            <w:r w:rsidR="00CA2E48" w:rsidRPr="008F7289">
              <w:rPr>
                <w:rFonts w:cs="Arial"/>
                <w:b w:val="0"/>
                <w:sz w:val="22"/>
                <w:szCs w:val="22"/>
              </w:rPr>
              <w:t xml:space="preserve"> Supplier and Sub-contractor FTE used in the delivery of the Agreement, per the Supplier’s declared staffing levels </w:t>
            </w:r>
          </w:p>
        </w:tc>
      </w:tr>
      <w:tr w:rsidR="00CA2E48" w:rsidRPr="00380877" w14:paraId="4C4B0A56" w14:textId="77777777" w:rsidTr="00F77F5E">
        <w:tc>
          <w:tcPr>
            <w:tcW w:w="2121" w:type="dxa"/>
          </w:tcPr>
          <w:p w14:paraId="2788DBC8" w14:textId="1DE8931F"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10</w:t>
            </w:r>
          </w:p>
        </w:tc>
        <w:tc>
          <w:tcPr>
            <w:tcW w:w="6667" w:type="dxa"/>
          </w:tcPr>
          <w:p w14:paraId="4864562E" w14:textId="0B5A576C"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Pr>
                <w:rFonts w:cs="Arial"/>
                <w:b w:val="0"/>
                <w:sz w:val="22"/>
                <w:szCs w:val="22"/>
              </w:rPr>
              <w:t xml:space="preserve"> </w:t>
            </w:r>
            <w:r w:rsidR="00CA2E48" w:rsidRPr="008F7289">
              <w:rPr>
                <w:rFonts w:cs="Arial"/>
                <w:b w:val="0"/>
                <w:sz w:val="22"/>
                <w:szCs w:val="22"/>
              </w:rPr>
              <w:t xml:space="preserve"> Supplier and Sub-contractor FTE used in the delivery of the Agreement, per the Supplier’s declared staffing levels</w:t>
            </w:r>
          </w:p>
        </w:tc>
      </w:tr>
      <w:tr w:rsidR="00CA2E48" w:rsidRPr="00380877" w14:paraId="0C02F7BE" w14:textId="77777777" w:rsidTr="00F77F5E">
        <w:tc>
          <w:tcPr>
            <w:tcW w:w="2121" w:type="dxa"/>
          </w:tcPr>
          <w:p w14:paraId="75D86718" w14:textId="4EE5D15F"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11</w:t>
            </w:r>
          </w:p>
        </w:tc>
        <w:tc>
          <w:tcPr>
            <w:tcW w:w="6667" w:type="dxa"/>
          </w:tcPr>
          <w:p w14:paraId="09F80C77" w14:textId="1DE65AE5"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Pr>
                <w:rFonts w:cs="Arial"/>
                <w:b w:val="0"/>
                <w:sz w:val="22"/>
                <w:szCs w:val="22"/>
              </w:rPr>
              <w:t xml:space="preserve"> </w:t>
            </w:r>
            <w:r w:rsidR="00CA2E48" w:rsidRPr="008F7289">
              <w:rPr>
                <w:rFonts w:cs="Arial"/>
                <w:b w:val="0"/>
                <w:sz w:val="22"/>
                <w:szCs w:val="22"/>
              </w:rPr>
              <w:t xml:space="preserve"> Supplier and Sub-contractor FTE used in the delivery of the Agreement, per the Supplier’s declared staffing levels </w:t>
            </w:r>
          </w:p>
        </w:tc>
      </w:tr>
      <w:tr w:rsidR="00CA2E48" w:rsidRPr="00380877" w14:paraId="7F651B2A" w14:textId="77777777" w:rsidTr="00F77F5E">
        <w:tc>
          <w:tcPr>
            <w:tcW w:w="2121" w:type="dxa"/>
          </w:tcPr>
          <w:p w14:paraId="4181F2E9" w14:textId="106CAAEC" w:rsidR="00CA2E48" w:rsidRPr="006579B1" w:rsidRDefault="00CA2E48" w:rsidP="00F77F5E">
            <w:pPr>
              <w:pStyle w:val="SchdLevel1Heading"/>
              <w:keepNext w:val="0"/>
              <w:widowControl w:val="0"/>
              <w:numPr>
                <w:ilvl w:val="0"/>
                <w:numId w:val="0"/>
              </w:numPr>
              <w:spacing w:before="60" w:after="60" w:line="240" w:lineRule="auto"/>
              <w:jc w:val="center"/>
              <w:rPr>
                <w:rFonts w:cs="Arial"/>
                <w:b w:val="0"/>
                <w:sz w:val="22"/>
                <w:szCs w:val="22"/>
              </w:rPr>
            </w:pPr>
            <w:r w:rsidRPr="006579B1">
              <w:rPr>
                <w:rFonts w:cs="Arial"/>
                <w:b w:val="0"/>
                <w:sz w:val="22"/>
                <w:szCs w:val="22"/>
              </w:rPr>
              <w:t>12</w:t>
            </w:r>
          </w:p>
        </w:tc>
        <w:tc>
          <w:tcPr>
            <w:tcW w:w="6667" w:type="dxa"/>
          </w:tcPr>
          <w:p w14:paraId="3150AF62" w14:textId="784DA000" w:rsidR="00CA2E48" w:rsidRPr="006579B1" w:rsidRDefault="00F77F5E" w:rsidP="00F77F5E">
            <w:pPr>
              <w:pStyle w:val="SchdLevel1Heading"/>
              <w:keepNext w:val="0"/>
              <w:widowControl w:val="0"/>
              <w:numPr>
                <w:ilvl w:val="0"/>
                <w:numId w:val="0"/>
              </w:numPr>
              <w:spacing w:before="60" w:after="60" w:line="240" w:lineRule="auto"/>
              <w:jc w:val="left"/>
              <w:rPr>
                <w:rFonts w:cs="Arial"/>
                <w:b w:val="0"/>
                <w:sz w:val="22"/>
                <w:szCs w:val="22"/>
              </w:rPr>
            </w:pPr>
            <w:r w:rsidRPr="00F77F5E">
              <w:rPr>
                <w:rFonts w:cs="Arial"/>
                <w:b w:val="0"/>
                <w:sz w:val="22"/>
                <w:szCs w:val="22"/>
                <w:highlight w:val="yellow"/>
              </w:rPr>
              <w:t>[REDACTED]</w:t>
            </w:r>
            <w:r>
              <w:rPr>
                <w:rFonts w:cs="Arial"/>
                <w:b w:val="0"/>
                <w:sz w:val="22"/>
                <w:szCs w:val="22"/>
              </w:rPr>
              <w:t xml:space="preserve"> </w:t>
            </w:r>
            <w:r w:rsidR="00CA2E48" w:rsidRPr="008F7289">
              <w:rPr>
                <w:rFonts w:cs="Arial"/>
                <w:b w:val="0"/>
                <w:sz w:val="22"/>
                <w:szCs w:val="22"/>
              </w:rPr>
              <w:t xml:space="preserve"> Supplier and Sub-contractor FTE used in the delivery of the Agreement, per the Supplier’s declared staffing levels </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0"/>
          <w:headerReference w:type="default" r:id="rId21"/>
          <w:headerReference w:type="first" r:id="rId22"/>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3"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4"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1" w:name="_Toc324838587"/>
      <w:bookmarkStart w:id="22" w:name="_Toc342310990"/>
      <w:r w:rsidRPr="001343F8">
        <w:rPr>
          <w:rFonts w:ascii="Arial" w:hAnsi="Arial" w:cs="Arial"/>
        </w:rPr>
        <w:t xml:space="preserve">The Supplier shall comply to the extent within its control with UK Government’s Open Standards Principles as documented at </w:t>
      </w:r>
      <w:hyperlink r:id="rId25"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6"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3" w:name="_Toc340747033"/>
      <w:bookmarkStart w:id="24" w:name="_Toc340747129"/>
      <w:bookmarkStart w:id="25" w:name="_Toc342310997"/>
      <w:bookmarkStart w:id="26" w:name="_Toc310512494"/>
      <w:bookmarkStart w:id="27" w:name="_Toc310512561"/>
      <w:bookmarkStart w:id="28" w:name="_Toc310512627"/>
      <w:bookmarkStart w:id="29" w:name="_Toc310512707"/>
      <w:bookmarkStart w:id="30" w:name="_Toc310512850"/>
      <w:bookmarkStart w:id="31" w:name="_Toc310512930"/>
      <w:bookmarkStart w:id="32" w:name="_Toc310513077"/>
      <w:bookmarkStart w:id="33" w:name="_Toc310513157"/>
      <w:bookmarkStart w:id="34" w:name="_Toc310513326"/>
      <w:bookmarkStart w:id="35" w:name="_Toc310513403"/>
      <w:bookmarkStart w:id="36" w:name="_Toc310512495"/>
      <w:bookmarkStart w:id="37" w:name="_Toc310512562"/>
      <w:bookmarkStart w:id="38" w:name="_Toc310512628"/>
      <w:bookmarkStart w:id="39" w:name="_Toc310512708"/>
      <w:bookmarkStart w:id="40" w:name="_Toc310512851"/>
      <w:bookmarkStart w:id="41" w:name="_Toc310512931"/>
      <w:bookmarkStart w:id="42" w:name="_Toc310513078"/>
      <w:bookmarkStart w:id="43" w:name="_Toc310513158"/>
      <w:bookmarkStart w:id="44" w:name="_Toc310513327"/>
      <w:bookmarkStart w:id="45" w:name="_Toc310513404"/>
      <w:bookmarkStart w:id="46" w:name="_Toc310512497"/>
      <w:bookmarkStart w:id="47" w:name="_Toc310512564"/>
      <w:bookmarkStart w:id="48" w:name="_Toc310512630"/>
      <w:bookmarkStart w:id="49" w:name="_Toc310512710"/>
      <w:bookmarkStart w:id="50" w:name="_Toc310512853"/>
      <w:bookmarkStart w:id="51" w:name="_Toc310512933"/>
      <w:bookmarkStart w:id="52" w:name="_Toc310513080"/>
      <w:bookmarkStart w:id="53" w:name="_Toc310513160"/>
      <w:bookmarkStart w:id="54" w:name="_Toc310513329"/>
      <w:bookmarkStart w:id="55" w:name="_Toc310513406"/>
      <w:bookmarkStart w:id="56" w:name="_Toc310512498"/>
      <w:bookmarkStart w:id="57" w:name="_Toc310512565"/>
      <w:bookmarkStart w:id="58" w:name="_Toc310512631"/>
      <w:bookmarkStart w:id="59" w:name="_Toc310512711"/>
      <w:bookmarkStart w:id="60" w:name="_Toc310512854"/>
      <w:bookmarkStart w:id="61" w:name="_Toc310512934"/>
      <w:bookmarkStart w:id="62" w:name="_Toc310513081"/>
      <w:bookmarkStart w:id="63" w:name="_Toc310513161"/>
      <w:bookmarkStart w:id="64" w:name="_Toc310513330"/>
      <w:bookmarkStart w:id="65" w:name="_Toc310513407"/>
      <w:bookmarkStart w:id="66" w:name="_Toc310512499"/>
      <w:bookmarkStart w:id="67" w:name="_Toc310512566"/>
      <w:bookmarkStart w:id="68" w:name="_Toc310512632"/>
      <w:bookmarkStart w:id="69" w:name="_Toc310512712"/>
      <w:bookmarkStart w:id="70" w:name="_Toc310512855"/>
      <w:bookmarkStart w:id="71" w:name="_Toc310512935"/>
      <w:bookmarkStart w:id="72" w:name="_Toc310513082"/>
      <w:bookmarkStart w:id="73" w:name="_Toc310513162"/>
      <w:bookmarkStart w:id="74" w:name="_Toc310513331"/>
      <w:bookmarkStart w:id="75" w:name="_Toc310513408"/>
      <w:bookmarkStart w:id="76" w:name="_Toc310510785"/>
      <w:bookmarkStart w:id="77" w:name="_Toc310512464"/>
      <w:bookmarkStart w:id="78" w:name="_Toc310512531"/>
      <w:bookmarkStart w:id="79" w:name="_Toc310512597"/>
      <w:bookmarkStart w:id="80" w:name="_Toc310512677"/>
      <w:bookmarkStart w:id="81" w:name="_Toc310512820"/>
      <w:bookmarkStart w:id="82" w:name="_Toc310512900"/>
      <w:bookmarkStart w:id="83" w:name="_Toc310513047"/>
      <w:bookmarkStart w:id="84" w:name="_Toc310513127"/>
      <w:bookmarkStart w:id="85" w:name="_Toc310513296"/>
      <w:bookmarkStart w:id="86" w:name="_Toc310513373"/>
      <w:bookmarkStart w:id="87" w:name="_Toc310512465"/>
      <w:bookmarkStart w:id="88" w:name="_Toc310512532"/>
      <w:bookmarkStart w:id="89" w:name="_Toc310512598"/>
      <w:bookmarkStart w:id="90" w:name="_Toc310512678"/>
      <w:bookmarkStart w:id="91" w:name="_Toc310512821"/>
      <w:bookmarkStart w:id="92" w:name="_Toc310512901"/>
      <w:bookmarkStart w:id="93" w:name="_Toc310513048"/>
      <w:bookmarkStart w:id="94" w:name="_Toc310513128"/>
      <w:bookmarkStart w:id="95" w:name="_Toc310513297"/>
      <w:bookmarkStart w:id="96" w:name="_Toc310513374"/>
      <w:bookmarkStart w:id="97" w:name="_Toc310512470"/>
      <w:bookmarkStart w:id="98" w:name="_Toc310512537"/>
      <w:bookmarkStart w:id="99" w:name="_Toc310512603"/>
      <w:bookmarkStart w:id="100" w:name="_Toc310512683"/>
      <w:bookmarkStart w:id="101" w:name="_Toc310512826"/>
      <w:bookmarkStart w:id="102" w:name="_Toc310512906"/>
      <w:bookmarkStart w:id="103" w:name="_Toc310513053"/>
      <w:bookmarkStart w:id="104" w:name="_Toc310513133"/>
      <w:bookmarkStart w:id="105" w:name="_Toc310513302"/>
      <w:bookmarkStart w:id="106" w:name="_Toc310513379"/>
      <w:bookmarkStart w:id="107" w:name="_Toc310512479"/>
      <w:bookmarkStart w:id="108" w:name="_Toc310512546"/>
      <w:bookmarkStart w:id="109" w:name="_Toc310512612"/>
      <w:bookmarkStart w:id="110" w:name="_Toc310512692"/>
      <w:bookmarkStart w:id="111" w:name="_Toc310512835"/>
      <w:bookmarkStart w:id="112" w:name="_Toc310512915"/>
      <w:bookmarkStart w:id="113" w:name="_Toc310513062"/>
      <w:bookmarkStart w:id="114" w:name="_Toc310513142"/>
      <w:bookmarkStart w:id="115" w:name="_Toc310513311"/>
      <w:bookmarkStart w:id="116" w:name="_Toc310513388"/>
      <w:bookmarkStart w:id="117" w:name="_Toc310512480"/>
      <w:bookmarkStart w:id="118" w:name="_Toc310512547"/>
      <w:bookmarkStart w:id="119" w:name="_Toc310512613"/>
      <w:bookmarkStart w:id="120" w:name="_Toc310512693"/>
      <w:bookmarkStart w:id="121" w:name="_Toc310512836"/>
      <w:bookmarkStart w:id="122" w:name="_Toc310512916"/>
      <w:bookmarkStart w:id="123" w:name="_Toc310513063"/>
      <w:bookmarkStart w:id="124" w:name="_Toc310513143"/>
      <w:bookmarkStart w:id="125" w:name="_Toc310513312"/>
      <w:bookmarkStart w:id="126" w:name="_Toc310513389"/>
      <w:bookmarkStart w:id="127" w:name="_Toc310512482"/>
      <w:bookmarkStart w:id="128" w:name="_Toc310512549"/>
      <w:bookmarkStart w:id="129" w:name="_Toc310512615"/>
      <w:bookmarkStart w:id="130" w:name="_Toc310512695"/>
      <w:bookmarkStart w:id="131" w:name="_Toc310512838"/>
      <w:bookmarkStart w:id="132" w:name="_Toc310512918"/>
      <w:bookmarkStart w:id="133" w:name="_Toc310513065"/>
      <w:bookmarkStart w:id="134" w:name="_Toc310513145"/>
      <w:bookmarkStart w:id="135" w:name="_Toc310513314"/>
      <w:bookmarkStart w:id="136" w:name="_Toc310513391"/>
      <w:bookmarkStart w:id="137" w:name="_Toc310512483"/>
      <w:bookmarkStart w:id="138" w:name="_Toc310512550"/>
      <w:bookmarkStart w:id="139" w:name="_Toc310512616"/>
      <w:bookmarkStart w:id="140" w:name="_Toc310512696"/>
      <w:bookmarkStart w:id="141" w:name="_Toc310512839"/>
      <w:bookmarkStart w:id="142" w:name="_Toc310512919"/>
      <w:bookmarkStart w:id="143" w:name="_Toc310513066"/>
      <w:bookmarkStart w:id="144" w:name="_Toc310513146"/>
      <w:bookmarkStart w:id="145" w:name="_Toc310513315"/>
      <w:bookmarkStart w:id="146" w:name="_Toc310513392"/>
      <w:bookmarkStart w:id="147" w:name="_Toc310512484"/>
      <w:bookmarkStart w:id="148" w:name="_Toc310512551"/>
      <w:bookmarkStart w:id="149" w:name="_Toc310512617"/>
      <w:bookmarkStart w:id="150" w:name="_Toc310512697"/>
      <w:bookmarkStart w:id="151" w:name="_Toc310512840"/>
      <w:bookmarkStart w:id="152" w:name="_Toc310512920"/>
      <w:bookmarkStart w:id="153" w:name="_Toc310513067"/>
      <w:bookmarkStart w:id="154" w:name="_Toc310513147"/>
      <w:bookmarkStart w:id="155" w:name="_Toc310513316"/>
      <w:bookmarkStart w:id="156" w:name="_Toc310513393"/>
      <w:bookmarkStart w:id="157" w:name="_Toc310512485"/>
      <w:bookmarkStart w:id="158" w:name="_Toc310512552"/>
      <w:bookmarkStart w:id="159" w:name="_Toc310512618"/>
      <w:bookmarkStart w:id="160" w:name="_Toc310512698"/>
      <w:bookmarkStart w:id="161" w:name="_Toc310512841"/>
      <w:bookmarkStart w:id="162" w:name="_Toc310512921"/>
      <w:bookmarkStart w:id="163" w:name="_Toc310513068"/>
      <w:bookmarkStart w:id="164" w:name="_Toc310513148"/>
      <w:bookmarkStart w:id="165" w:name="_Toc310513317"/>
      <w:bookmarkStart w:id="166" w:name="_Toc310513394"/>
      <w:bookmarkStart w:id="167" w:name="_Toc310512488"/>
      <w:bookmarkStart w:id="168" w:name="_Toc310512555"/>
      <w:bookmarkStart w:id="169" w:name="_Toc310512621"/>
      <w:bookmarkStart w:id="170" w:name="_Toc310512701"/>
      <w:bookmarkStart w:id="171" w:name="_Toc310512844"/>
      <w:bookmarkStart w:id="172" w:name="_Toc310512924"/>
      <w:bookmarkStart w:id="173" w:name="_Toc310513071"/>
      <w:bookmarkStart w:id="174" w:name="_Toc310513151"/>
      <w:bookmarkStart w:id="175" w:name="_Toc310513320"/>
      <w:bookmarkStart w:id="176" w:name="_Toc310513397"/>
      <w:bookmarkStart w:id="177" w:name="_Toc310512489"/>
      <w:bookmarkStart w:id="178" w:name="_Toc310512556"/>
      <w:bookmarkStart w:id="179" w:name="_Toc310512622"/>
      <w:bookmarkStart w:id="180" w:name="_Toc310512702"/>
      <w:bookmarkStart w:id="181" w:name="_Toc310512845"/>
      <w:bookmarkStart w:id="182" w:name="_Toc310512925"/>
      <w:bookmarkStart w:id="183" w:name="_Toc310513072"/>
      <w:bookmarkStart w:id="184" w:name="_Toc310513152"/>
      <w:bookmarkStart w:id="185" w:name="_Toc310513321"/>
      <w:bookmarkStart w:id="186" w:name="_Toc310513398"/>
      <w:bookmarkStart w:id="187" w:name="_Toc310512490"/>
      <w:bookmarkStart w:id="188" w:name="_Toc310512557"/>
      <w:bookmarkStart w:id="189" w:name="_Toc310512623"/>
      <w:bookmarkStart w:id="190" w:name="_Toc310512703"/>
      <w:bookmarkStart w:id="191" w:name="_Toc310512846"/>
      <w:bookmarkStart w:id="192" w:name="_Toc310512926"/>
      <w:bookmarkStart w:id="193" w:name="_Toc310513073"/>
      <w:bookmarkStart w:id="194" w:name="_Toc310513153"/>
      <w:bookmarkStart w:id="195" w:name="_Toc310513322"/>
      <w:bookmarkStart w:id="196" w:name="_Toc310513399"/>
      <w:bookmarkStart w:id="197" w:name="_Toc310512491"/>
      <w:bookmarkStart w:id="198" w:name="_Toc310512558"/>
      <w:bookmarkStart w:id="199" w:name="_Toc310512624"/>
      <w:bookmarkStart w:id="200" w:name="_Toc310512704"/>
      <w:bookmarkStart w:id="201" w:name="_Toc310512847"/>
      <w:bookmarkStart w:id="202" w:name="_Toc310512927"/>
      <w:bookmarkStart w:id="203" w:name="_Toc310513074"/>
      <w:bookmarkStart w:id="204" w:name="_Toc310513154"/>
      <w:bookmarkStart w:id="205" w:name="_Toc310513323"/>
      <w:bookmarkStart w:id="206" w:name="_Toc310513400"/>
      <w:bookmarkStart w:id="207" w:name="_Toc310512492"/>
      <w:bookmarkStart w:id="208" w:name="_Toc310512559"/>
      <w:bookmarkStart w:id="209" w:name="_Toc310512625"/>
      <w:bookmarkStart w:id="210" w:name="_Toc310512705"/>
      <w:bookmarkStart w:id="211" w:name="_Toc310512848"/>
      <w:bookmarkStart w:id="212" w:name="_Toc310512928"/>
      <w:bookmarkStart w:id="213" w:name="_Toc310513075"/>
      <w:bookmarkStart w:id="214" w:name="_Toc310513155"/>
      <w:bookmarkStart w:id="215" w:name="_Toc310513324"/>
      <w:bookmarkStart w:id="216" w:name="_Toc310513401"/>
      <w:bookmarkStart w:id="217" w:name="_Toc310512501"/>
      <w:bookmarkStart w:id="218" w:name="_Toc310512568"/>
      <w:bookmarkStart w:id="219" w:name="_Toc310512634"/>
      <w:bookmarkStart w:id="220" w:name="_Toc310512714"/>
      <w:bookmarkStart w:id="221" w:name="_Toc310512857"/>
      <w:bookmarkStart w:id="222" w:name="_Toc310512937"/>
      <w:bookmarkStart w:id="223" w:name="_Toc310513084"/>
      <w:bookmarkStart w:id="224" w:name="_Toc310513164"/>
      <w:bookmarkStart w:id="225" w:name="_Toc310513333"/>
      <w:bookmarkStart w:id="226" w:name="_Toc310513410"/>
      <w:bookmarkStart w:id="227" w:name="_Toc310513334"/>
      <w:bookmarkStart w:id="228" w:name="_Toc310513411"/>
      <w:bookmarkStart w:id="229" w:name="_Toc310512508"/>
      <w:bookmarkStart w:id="230" w:name="_Toc310512575"/>
      <w:bookmarkStart w:id="231" w:name="_Toc310512641"/>
      <w:bookmarkStart w:id="232" w:name="_Toc310512721"/>
      <w:bookmarkStart w:id="233" w:name="_Toc310512864"/>
      <w:bookmarkStart w:id="234" w:name="_Toc310512944"/>
      <w:bookmarkStart w:id="235" w:name="_Toc310513091"/>
      <w:bookmarkStart w:id="236" w:name="_Toc310513171"/>
      <w:bookmarkStart w:id="237" w:name="_Toc310513337"/>
      <w:bookmarkStart w:id="238" w:name="_Toc310513414"/>
      <w:bookmarkStart w:id="239" w:name="_Toc310512510"/>
      <w:bookmarkStart w:id="240" w:name="_Toc310512577"/>
      <w:bookmarkStart w:id="241" w:name="_Toc310512643"/>
      <w:bookmarkStart w:id="242" w:name="_Toc310512723"/>
      <w:bookmarkStart w:id="243" w:name="_Toc310512866"/>
      <w:bookmarkStart w:id="244" w:name="_Toc310512946"/>
      <w:bookmarkStart w:id="245" w:name="_Toc310513093"/>
      <w:bookmarkStart w:id="246" w:name="_Toc310513173"/>
      <w:bookmarkStart w:id="247" w:name="_Toc310513339"/>
      <w:bookmarkStart w:id="248" w:name="_Toc310513416"/>
      <w:bookmarkStart w:id="249" w:name="_Toc324838598"/>
      <w:bookmarkStart w:id="250" w:name="_Toc342311008"/>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9"/>
      <w:bookmarkEnd w:id="250"/>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1"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2" w:name="_Toc310512512"/>
      <w:bookmarkStart w:id="253" w:name="_Toc310512579"/>
      <w:bookmarkStart w:id="254" w:name="_Toc310512645"/>
      <w:bookmarkStart w:id="255" w:name="_Toc310512725"/>
      <w:bookmarkStart w:id="256" w:name="_Toc310512868"/>
      <w:bookmarkStart w:id="257" w:name="_Toc310512948"/>
      <w:bookmarkStart w:id="258" w:name="_Toc310513095"/>
      <w:bookmarkStart w:id="259" w:name="_Toc310513175"/>
      <w:bookmarkStart w:id="260" w:name="_Toc310513341"/>
      <w:bookmarkStart w:id="261" w:name="_Toc310513418"/>
      <w:bookmarkStart w:id="262" w:name="_Toc310512581"/>
      <w:bookmarkStart w:id="263" w:name="_Toc310512647"/>
      <w:bookmarkStart w:id="264" w:name="_Toc310512727"/>
      <w:bookmarkStart w:id="265" w:name="_Toc310512870"/>
      <w:bookmarkStart w:id="266" w:name="_Toc310512950"/>
      <w:bookmarkStart w:id="267" w:name="_Toc310513097"/>
      <w:bookmarkStart w:id="268" w:name="_Toc310513177"/>
      <w:bookmarkStart w:id="269" w:name="_Toc310513343"/>
      <w:bookmarkStart w:id="270" w:name="_Toc310513420"/>
      <w:bookmarkStart w:id="271" w:name="_Toc310509490"/>
      <w:bookmarkStart w:id="272" w:name="_Toc310509643"/>
      <w:bookmarkStart w:id="273" w:name="_Toc310510086"/>
      <w:bookmarkStart w:id="274" w:name="_Toc310510534"/>
      <w:bookmarkStart w:id="275" w:name="_Toc310510660"/>
      <w:bookmarkStart w:id="276" w:name="_Toc310510687"/>
      <w:bookmarkStart w:id="277" w:name="_Toc310510713"/>
      <w:bookmarkStart w:id="278" w:name="_Toc310510800"/>
      <w:bookmarkStart w:id="279" w:name="_Toc310512517"/>
      <w:bookmarkStart w:id="280" w:name="_Toc310512584"/>
      <w:bookmarkStart w:id="281" w:name="_Toc310512650"/>
      <w:bookmarkStart w:id="282" w:name="_Toc310512730"/>
      <w:bookmarkStart w:id="283" w:name="_Toc310512873"/>
      <w:bookmarkStart w:id="284" w:name="_Toc310512953"/>
      <w:bookmarkStart w:id="285" w:name="_Toc310513100"/>
      <w:bookmarkStart w:id="286" w:name="_Toc310513180"/>
      <w:bookmarkStart w:id="287" w:name="_Toc310513346"/>
      <w:bookmarkStart w:id="288" w:name="_Toc310513423"/>
      <w:bookmarkStart w:id="289" w:name="_Toc310509491"/>
      <w:bookmarkStart w:id="290" w:name="_Toc310509644"/>
      <w:bookmarkStart w:id="291" w:name="_Toc310510087"/>
      <w:bookmarkStart w:id="292" w:name="_Toc310510535"/>
      <w:bookmarkStart w:id="293" w:name="_Toc310510661"/>
      <w:bookmarkStart w:id="294" w:name="_Toc310510688"/>
      <w:bookmarkStart w:id="295" w:name="_Toc310510714"/>
      <w:bookmarkStart w:id="296" w:name="_Toc310510801"/>
      <w:bookmarkStart w:id="297" w:name="_Toc310512518"/>
      <w:bookmarkStart w:id="298" w:name="_Toc310512585"/>
      <w:bookmarkStart w:id="299" w:name="_Toc310512651"/>
      <w:bookmarkStart w:id="300" w:name="_Toc310512731"/>
      <w:bookmarkStart w:id="301" w:name="_Toc310512874"/>
      <w:bookmarkStart w:id="302" w:name="_Toc310512954"/>
      <w:bookmarkStart w:id="303" w:name="_Toc310513101"/>
      <w:bookmarkStart w:id="304" w:name="_Toc310513181"/>
      <w:bookmarkStart w:id="305" w:name="_Toc310513347"/>
      <w:bookmarkStart w:id="306" w:name="_Toc310513424"/>
      <w:bookmarkStart w:id="307" w:name="_Toc310509492"/>
      <w:bookmarkStart w:id="308" w:name="_Toc310509645"/>
      <w:bookmarkStart w:id="309" w:name="_Toc310510088"/>
      <w:bookmarkStart w:id="310" w:name="_Toc310510536"/>
      <w:bookmarkStart w:id="311" w:name="_Toc310510662"/>
      <w:bookmarkStart w:id="312" w:name="_Toc310510689"/>
      <w:bookmarkStart w:id="313" w:name="_Toc310510715"/>
      <w:bookmarkStart w:id="314" w:name="_Toc310510802"/>
      <w:bookmarkStart w:id="315" w:name="_Toc310512519"/>
      <w:bookmarkStart w:id="316" w:name="_Toc310512586"/>
      <w:bookmarkStart w:id="317" w:name="_Toc310512652"/>
      <w:bookmarkStart w:id="318" w:name="_Toc310512732"/>
      <w:bookmarkStart w:id="319" w:name="_Toc310512875"/>
      <w:bookmarkStart w:id="320" w:name="_Toc310512955"/>
      <w:bookmarkStart w:id="321" w:name="_Toc310513102"/>
      <w:bookmarkStart w:id="322" w:name="_Toc310513182"/>
      <w:bookmarkStart w:id="323" w:name="_Toc310513348"/>
      <w:bookmarkStart w:id="324" w:name="_Toc310513425"/>
      <w:bookmarkStart w:id="325" w:name="_Toc340747141"/>
      <w:bookmarkStart w:id="326" w:name="_Toc342311009"/>
      <w:bookmarkStart w:id="327" w:name="_Toc324838600"/>
      <w:bookmarkStart w:id="328" w:name="_Toc342311011"/>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relevant obligations under the Waste Electrical and 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7"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7"/>
    <w:bookmarkEnd w:id="328"/>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8"/>
          <w:headerReference w:type="first" r:id="rId29"/>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9" w:name="_Toc35260439"/>
      <w:bookmarkStart w:id="330" w:name="_Toc35260853"/>
      <w:r w:rsidRPr="0069064E">
        <w:rPr>
          <w:rFonts w:ascii="Arial" w:hAnsi="Arial" w:cs="Arial"/>
          <w:bCs/>
          <w:color w:val="365F91"/>
          <w:sz w:val="32"/>
        </w:rPr>
        <w:t>General</w:t>
      </w:r>
      <w:bookmarkEnd w:id="329"/>
      <w:bookmarkEnd w:id="330"/>
    </w:p>
    <w:p w14:paraId="536EDBE7" w14:textId="2F093F00" w:rsidR="00E5103D" w:rsidRPr="00E5103D" w:rsidRDefault="00E5103D" w:rsidP="00A53784">
      <w:pPr>
        <w:widowControl w:val="0"/>
        <w:spacing w:before="240"/>
        <w:ind w:left="0"/>
        <w:jc w:val="left"/>
        <w:outlineLvl w:val="0"/>
        <w:rPr>
          <w:rFonts w:ascii="Arial" w:hAnsi="Arial" w:cs="Arial"/>
        </w:rPr>
      </w:pPr>
      <w:bookmarkStart w:id="331" w:name="_Toc35260440"/>
      <w:bookmarkStart w:id="332"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1"/>
      <w:bookmarkEnd w:id="332"/>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3" w:name="_Toc35260441"/>
      <w:bookmarkStart w:id="334"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3"/>
      <w:bookmarkEnd w:id="334"/>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5"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5"/>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or the relevant successor or replacement information security 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The ISO Certificate shall be provided by the Supplier to the 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The Cyber Essentials Plus 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A80590" w:rsidP="00A53784">
      <w:pPr>
        <w:widowControl w:val="0"/>
        <w:spacing w:before="240"/>
        <w:ind w:left="0"/>
        <w:jc w:val="left"/>
        <w:rPr>
          <w:rFonts w:ascii="Arial" w:eastAsia="Calibri" w:hAnsi="Arial" w:cs="Arial"/>
          <w:lang w:eastAsia="en-GB"/>
        </w:rPr>
      </w:pPr>
      <w:hyperlink r:id="rId30"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1"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2"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A80590" w:rsidP="00A53784">
      <w:pPr>
        <w:widowControl w:val="0"/>
        <w:spacing w:before="120" w:after="120"/>
        <w:ind w:left="0"/>
        <w:jc w:val="left"/>
        <w:rPr>
          <w:rFonts w:ascii="Arial" w:hAnsi="Arial" w:cs="Arial"/>
        </w:rPr>
      </w:pPr>
      <w:hyperlink r:id="rId33"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4"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6"/>
          <w:headerReference w:type="default" r:id="rId37"/>
          <w:footerReference w:type="even" r:id="rId38"/>
          <w:headerReference w:type="first" r:id="rId39"/>
          <w:footerReference w:type="first" r:id="rId40"/>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215539">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215539">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215539">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215539">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215539">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215539">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215539">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215539">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215539">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215539">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215539">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215539">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215539">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215539">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215539">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215539">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set of policies, processes and systems designed, implemented and maintained by the Supplier to manage Information Security 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215539">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215539">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215539">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215539">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215539">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215539">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215539">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215539">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215539">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215539">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215539">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ongoing activity to identify any potential vulnerability in any Authority Assets, the Authority System (or any part thereof) or the Supplier System (or any part thereof).</w:t>
            </w:r>
          </w:p>
        </w:tc>
      </w:tr>
      <w:tr w:rsidR="007708E8" w:rsidRPr="007708E8" w14:paraId="16C06248" w14:textId="77777777" w:rsidTr="00215539">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A80590" w:rsidP="007708E8">
      <w:pPr>
        <w:ind w:left="0"/>
        <w:rPr>
          <w:rFonts w:ascii="Arial" w:eastAsia="Calibri" w:hAnsi="Arial" w:cs="Arial"/>
          <w:sz w:val="24"/>
          <w:szCs w:val="24"/>
          <w:lang w:eastAsia="en-GB"/>
        </w:rPr>
      </w:pPr>
      <w:hyperlink r:id="rId41"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2"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3"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A80590" w:rsidP="007708E8">
      <w:pPr>
        <w:suppressAutoHyphens/>
        <w:spacing w:after="0"/>
        <w:ind w:left="0"/>
        <w:rPr>
          <w:rFonts w:ascii="Arial" w:eastAsia="Times New Roman" w:hAnsi="Arial" w:cs="Times New Roman"/>
          <w:sz w:val="24"/>
          <w:szCs w:val="20"/>
        </w:rPr>
      </w:pPr>
      <w:hyperlink r:id="rId44"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5"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w:t>
      </w:r>
      <w:proofErr w:type="gramStart"/>
      <w:r w:rsidRPr="001343F8">
        <w:rPr>
          <w:rFonts w:ascii="Arial" w:hAnsi="Arial" w:cs="Arial"/>
        </w:rPr>
        <w:t>principals</w:t>
      </w:r>
      <w:proofErr w:type="gramEnd"/>
      <w:r w:rsidRPr="001343F8">
        <w:rPr>
          <w:rFonts w:ascii="Arial" w:hAnsi="Arial" w:cs="Arial"/>
        </w:rPr>
        <w:t xml:space="preserve">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the Supplier has failed to purchase any of the Insurances or maintain any of the 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29F7F532" w:rsidR="00C41D2E" w:rsidRDefault="00870ECA" w:rsidP="002E0682">
      <w:pPr>
        <w:widowControl w:val="0"/>
        <w:spacing w:before="200" w:after="200"/>
        <w:ind w:left="851"/>
        <w:jc w:val="left"/>
        <w:rPr>
          <w:rFonts w:ascii="Arial" w:hAnsi="Arial" w:cs="Arial"/>
        </w:rPr>
      </w:pPr>
      <w:r w:rsidRPr="00870ECA">
        <w:rPr>
          <w:rFonts w:ascii="Arial" w:hAnsi="Arial" w:cs="Arial"/>
        </w:rPr>
        <w:t>Not to exceed the applicable maximum deductible threshold in the insurance policy that Insured has in place as at the Effective Date for each and every third party property damage claim (personal injury claims to be paid in full).</w:t>
      </w:r>
    </w:p>
    <w:p w14:paraId="3C75813D" w14:textId="77777777" w:rsidR="00870ECA" w:rsidRPr="001343F8" w:rsidRDefault="00870ECA" w:rsidP="002E0682">
      <w:pPr>
        <w:widowControl w:val="0"/>
        <w:spacing w:before="200" w:after="200"/>
        <w:ind w:left="851"/>
        <w:jc w:val="left"/>
        <w:rPr>
          <w:rFonts w:ascii="Arial" w:hAnsi="Arial" w:cs="Arial"/>
        </w:rPr>
      </w:pP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5966ECB6" w:rsidR="00FE6CE6" w:rsidRPr="008957A0" w:rsidRDefault="007E53CF" w:rsidP="007E53CF">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7E53CF">
        <w:rPr>
          <w:rFonts w:cs="Arial"/>
          <w:sz w:val="22"/>
          <w:szCs w:val="22"/>
        </w:rPr>
        <w:t>Not to exceed the applicable maximum deductible threshold in the insurance policy that Insured has in place as at the Effective Date for each and every third party professional indemnity claim.</w:t>
      </w:r>
    </w:p>
    <w:sectPr w:rsidR="00FE6CE6" w:rsidRPr="008957A0" w:rsidSect="00E13253">
      <w:headerReference w:type="default" r:id="rId47"/>
      <w:headerReference w:type="first" r:id="rId48"/>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B218FB" w:rsidRDefault="00B218FB">
      <w:r>
        <w:separator/>
      </w:r>
    </w:p>
    <w:p w14:paraId="2E721A36" w14:textId="77777777" w:rsidR="00B218FB" w:rsidRDefault="00B218FB"/>
    <w:p w14:paraId="6A644B07" w14:textId="77777777" w:rsidR="00B218FB" w:rsidRDefault="00B218FB"/>
  </w:endnote>
  <w:endnote w:type="continuationSeparator" w:id="0">
    <w:p w14:paraId="0BB42C62" w14:textId="77777777" w:rsidR="00B218FB" w:rsidRDefault="00B218FB">
      <w:r>
        <w:continuationSeparator/>
      </w:r>
    </w:p>
    <w:p w14:paraId="1A1772C9" w14:textId="77777777" w:rsidR="00B218FB" w:rsidRDefault="00B218FB"/>
    <w:p w14:paraId="109B51EE" w14:textId="77777777" w:rsidR="00B218FB" w:rsidRDefault="00B218FB"/>
  </w:endnote>
  <w:endnote w:type="continuationNotice" w:id="1">
    <w:p w14:paraId="4BCC1C51" w14:textId="77777777" w:rsidR="00B218FB" w:rsidRDefault="00B218FB">
      <w:pPr>
        <w:spacing w:after="0"/>
      </w:pPr>
    </w:p>
    <w:p w14:paraId="70673C12" w14:textId="77777777" w:rsidR="00B218FB" w:rsidRDefault="00B218F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0000000000000000000"/>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B218FB" w:rsidRDefault="00B218FB" w:rsidP="001A28CE">
    <w:pPr>
      <w:pStyle w:val="Footer"/>
      <w:pBdr>
        <w:bottom w:val="single" w:sz="4" w:space="1" w:color="auto"/>
      </w:pBdr>
      <w:ind w:left="0"/>
      <w:rPr>
        <w:rFonts w:ascii="Arial" w:hAnsi="Arial" w:cs="Arial"/>
        <w:sz w:val="16"/>
      </w:rPr>
    </w:pPr>
  </w:p>
  <w:p w14:paraId="011E0B20" w14:textId="77777777" w:rsidR="00B218FB" w:rsidRDefault="00B218FB"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B218FB" w:rsidRDefault="00B218FB" w:rsidP="001A28CE">
    <w:pPr>
      <w:pStyle w:val="Footer"/>
      <w:pBdr>
        <w:bottom w:val="single" w:sz="4" w:space="1" w:color="auto"/>
      </w:pBdr>
      <w:ind w:left="0"/>
      <w:rPr>
        <w:rFonts w:ascii="Arial" w:hAnsi="Arial" w:cs="Arial"/>
        <w:sz w:val="16"/>
      </w:rPr>
    </w:pPr>
  </w:p>
  <w:p w14:paraId="50279847" w14:textId="77777777" w:rsidR="00B218FB" w:rsidRDefault="00B218FB" w:rsidP="00D304D0">
    <w:pPr>
      <w:pStyle w:val="Footer"/>
      <w:ind w:left="0"/>
      <w:rPr>
        <w:rFonts w:ascii="Arial" w:hAnsi="Arial" w:cs="Arial"/>
        <w:sz w:val="16"/>
      </w:rPr>
    </w:pPr>
  </w:p>
  <w:p w14:paraId="009D4997" w14:textId="77777777" w:rsidR="00B218FB" w:rsidRDefault="00B218FB"/>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B218FB" w:rsidRDefault="00B218F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B218FB" w:rsidRDefault="00B218FB" w:rsidP="00A721B3">
    <w:pPr>
      <w:pStyle w:val="Footer"/>
      <w:pBdr>
        <w:bottom w:val="single" w:sz="4" w:space="1" w:color="auto"/>
      </w:pBdr>
      <w:ind w:left="0"/>
      <w:rPr>
        <w:rFonts w:ascii="Arial" w:hAnsi="Arial" w:cs="Arial"/>
        <w:sz w:val="16"/>
      </w:rPr>
    </w:pPr>
  </w:p>
  <w:p w14:paraId="19E34944" w14:textId="77777777" w:rsidR="00B218FB" w:rsidRDefault="00B218FB"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B218FB" w:rsidRDefault="00B218FB">
      <w:r>
        <w:separator/>
      </w:r>
    </w:p>
    <w:p w14:paraId="53E39B47" w14:textId="77777777" w:rsidR="00B218FB" w:rsidRDefault="00B218FB"/>
    <w:p w14:paraId="5DC8CD4E" w14:textId="77777777" w:rsidR="00B218FB" w:rsidRDefault="00B218FB"/>
  </w:footnote>
  <w:footnote w:type="continuationSeparator" w:id="0">
    <w:p w14:paraId="6EE88B15" w14:textId="77777777" w:rsidR="00B218FB" w:rsidRDefault="00B218FB">
      <w:r>
        <w:continuationSeparator/>
      </w:r>
    </w:p>
    <w:p w14:paraId="6A2C9CBD" w14:textId="77777777" w:rsidR="00B218FB" w:rsidRDefault="00B218FB"/>
    <w:p w14:paraId="4C85DF18" w14:textId="77777777" w:rsidR="00B218FB" w:rsidRDefault="00B218FB"/>
  </w:footnote>
  <w:footnote w:type="continuationNotice" w:id="1">
    <w:p w14:paraId="2B766FC1" w14:textId="77777777" w:rsidR="00B218FB" w:rsidRDefault="00B218FB">
      <w:pPr>
        <w:spacing w:after="0"/>
      </w:pPr>
    </w:p>
    <w:p w14:paraId="79AA07F1" w14:textId="77777777" w:rsidR="00B218FB" w:rsidRDefault="00B218F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B218FB" w:rsidRDefault="00B218FB">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B218FB" w:rsidRDefault="00B218F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sidR="00E13253">
      <w:rPr>
        <w:rFonts w:ascii="Arial" w:hAnsi="Arial" w:cs="Arial"/>
        <w:b/>
        <w:sz w:val="20"/>
      </w:rPr>
      <w:t xml:space="preserve"> 2.4</w:t>
    </w:r>
  </w:p>
  <w:p w14:paraId="555F88CF"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4D104F0E" w14:textId="77777777" w:rsidR="00B218FB" w:rsidRPr="00DD6267" w:rsidRDefault="00B218FB"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ED2BEDD" w14:textId="77777777" w:rsidR="00B218FB" w:rsidRPr="00DD6267" w:rsidRDefault="00B218FB"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393503D1" w14:textId="77777777" w:rsidR="00E13253" w:rsidRPr="00DD6267" w:rsidRDefault="00E13253"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E13253" w:rsidRPr="00D40E32" w:rsidRDefault="00E13253"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E13253" w:rsidRPr="00D40E32" w:rsidRDefault="00E13253" w:rsidP="00DD6267">
    <w:pPr>
      <w:pStyle w:val="Header"/>
      <w:pBdr>
        <w:bottom w:val="single" w:sz="4" w:space="1" w:color="auto"/>
      </w:pBdr>
      <w:spacing w:after="0"/>
      <w:ind w:left="0"/>
      <w:jc w:val="center"/>
      <w:rPr>
        <w:rFonts w:ascii="Arial" w:hAnsi="Arial" w:cs="Arial"/>
        <w:sz w:val="16"/>
      </w:rPr>
    </w:pPr>
  </w:p>
  <w:p w14:paraId="562399A0" w14:textId="77777777" w:rsidR="00E13253" w:rsidRPr="00DD6267" w:rsidRDefault="00E13253"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B218FB" w:rsidRPr="00D40E32" w:rsidRDefault="00B218FB" w:rsidP="001E066F">
    <w:pPr>
      <w:pStyle w:val="Header"/>
      <w:pBdr>
        <w:bottom w:val="single" w:sz="4" w:space="1" w:color="auto"/>
      </w:pBdr>
      <w:spacing w:after="0"/>
      <w:ind w:left="0"/>
      <w:jc w:val="center"/>
      <w:rPr>
        <w:rFonts w:ascii="Arial" w:hAnsi="Arial" w:cs="Arial"/>
        <w:sz w:val="16"/>
      </w:rPr>
    </w:pPr>
  </w:p>
  <w:p w14:paraId="0714AD33" w14:textId="77777777" w:rsidR="00B218FB" w:rsidRPr="00D40E32" w:rsidRDefault="00B218FB"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B218FB" w:rsidRPr="00D40E32" w:rsidRDefault="00B218FB" w:rsidP="00D40E32">
    <w:pPr>
      <w:pStyle w:val="Header"/>
      <w:pBdr>
        <w:bottom w:val="single" w:sz="4" w:space="1" w:color="auto"/>
      </w:pBdr>
      <w:spacing w:after="0"/>
      <w:ind w:left="0"/>
      <w:jc w:val="center"/>
      <w:rPr>
        <w:rFonts w:ascii="Arial" w:hAnsi="Arial" w:cs="Arial"/>
        <w:sz w:val="16"/>
      </w:rPr>
    </w:pPr>
  </w:p>
  <w:p w14:paraId="6E7C3E9C" w14:textId="77777777" w:rsidR="00B218FB" w:rsidRPr="00D40E32" w:rsidRDefault="00B218FB"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77F9F74B" w14:textId="77777777" w:rsidR="00B218FB" w:rsidRPr="00D40E32" w:rsidRDefault="00B218FB"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B218FB" w:rsidRDefault="00B218FB">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1F08AF2C" w14:textId="77777777" w:rsidR="00B218FB" w:rsidRPr="00DD6267" w:rsidRDefault="00B218FB"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2256D7E0" w14:textId="77777777" w:rsidR="00B218FB" w:rsidRPr="00D40E32" w:rsidRDefault="00B218FB"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B218FB" w:rsidRPr="00D40E32" w:rsidRDefault="00B218FB" w:rsidP="00DD6267">
    <w:pPr>
      <w:pStyle w:val="Header"/>
      <w:pBdr>
        <w:bottom w:val="single" w:sz="4" w:space="1" w:color="auto"/>
      </w:pBdr>
      <w:spacing w:after="0"/>
      <w:ind w:left="0"/>
      <w:jc w:val="center"/>
      <w:rPr>
        <w:rFonts w:ascii="Arial" w:hAnsi="Arial" w:cs="Arial"/>
        <w:sz w:val="16"/>
      </w:rPr>
    </w:pPr>
  </w:p>
  <w:p w14:paraId="7426C546" w14:textId="77777777" w:rsidR="00B218FB" w:rsidRPr="00DD6267" w:rsidRDefault="00B218FB"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B218FB" w:rsidRPr="00D40E32" w:rsidRDefault="00B218F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B218FB" w:rsidRPr="00D40E32" w:rsidRDefault="00B218FB" w:rsidP="00D40E32">
    <w:pPr>
      <w:pStyle w:val="Header"/>
      <w:pBdr>
        <w:bottom w:val="single" w:sz="4" w:space="1" w:color="auto"/>
      </w:pBdr>
      <w:spacing w:after="0"/>
      <w:ind w:left="0"/>
      <w:jc w:val="center"/>
      <w:rPr>
        <w:rFonts w:ascii="Arial" w:hAnsi="Arial" w:cs="Arial"/>
        <w:sz w:val="16"/>
      </w:rPr>
    </w:pPr>
  </w:p>
  <w:p w14:paraId="05B22A06" w14:textId="77777777" w:rsidR="00B218FB" w:rsidRPr="00D40E32" w:rsidRDefault="00B218FB"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3481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572"/>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FC5"/>
    <w:rsid w:val="002920BF"/>
    <w:rsid w:val="00292F77"/>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4402"/>
    <w:rsid w:val="00334981"/>
    <w:rsid w:val="00335A47"/>
    <w:rsid w:val="00335D05"/>
    <w:rsid w:val="00341E72"/>
    <w:rsid w:val="00342F29"/>
    <w:rsid w:val="00344397"/>
    <w:rsid w:val="0034503E"/>
    <w:rsid w:val="00345379"/>
    <w:rsid w:val="00345440"/>
    <w:rsid w:val="003454C0"/>
    <w:rsid w:val="003463A0"/>
    <w:rsid w:val="00346BA9"/>
    <w:rsid w:val="003475EA"/>
    <w:rsid w:val="00347B38"/>
    <w:rsid w:val="003501F9"/>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0D90"/>
    <w:rsid w:val="005414AE"/>
    <w:rsid w:val="00541992"/>
    <w:rsid w:val="00543E7F"/>
    <w:rsid w:val="00544C6A"/>
    <w:rsid w:val="00544E5F"/>
    <w:rsid w:val="00544F73"/>
    <w:rsid w:val="0055254D"/>
    <w:rsid w:val="0055568B"/>
    <w:rsid w:val="005611EA"/>
    <w:rsid w:val="005641E1"/>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7AD9"/>
    <w:rsid w:val="00652718"/>
    <w:rsid w:val="0065397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4719"/>
    <w:rsid w:val="00770174"/>
    <w:rsid w:val="007708E8"/>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53CF"/>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6241"/>
    <w:rsid w:val="00866274"/>
    <w:rsid w:val="008674B2"/>
    <w:rsid w:val="00870ECA"/>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43EE"/>
    <w:rsid w:val="00985F2B"/>
    <w:rsid w:val="00990B79"/>
    <w:rsid w:val="009914D2"/>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590"/>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3DC"/>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2E4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77DB"/>
    <w:rsid w:val="00D009F5"/>
    <w:rsid w:val="00D028F6"/>
    <w:rsid w:val="00D03529"/>
    <w:rsid w:val="00D04207"/>
    <w:rsid w:val="00D051FF"/>
    <w:rsid w:val="00D053E1"/>
    <w:rsid w:val="00D057FF"/>
    <w:rsid w:val="00D05A6F"/>
    <w:rsid w:val="00D0696F"/>
    <w:rsid w:val="00D07677"/>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77F5E"/>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7"/>
    <o:shapelayout v:ext="edit">
      <o:idmap v:ext="edit" data="1"/>
    </o:shapelayout>
  </w:shapeDefaults>
  <w:decimalSymbol w:val="."/>
  <w:listSeparator w:val=","/>
  <w14:docId w14:val="00F641EA"/>
  <w15:docId w15:val="{416E8E53-1158-4D8F-BB73-A2A85D3F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standards.data.gov.uk/" TargetMode="External"/><Relationship Id="rId39" Type="http://schemas.openxmlformats.org/officeDocument/2006/relationships/header" Target="header12.xml"/><Relationship Id="rId21" Type="http://schemas.openxmlformats.org/officeDocument/2006/relationships/header" Target="header6.xml"/><Relationship Id="rId34" Type="http://schemas.openxmlformats.org/officeDocument/2006/relationships/hyperlink" Target="https://assets.publishing.service.gov.uk/government/uploads/system/uploads/attachment_data/file/691106/dwp-ss009-security-standard-hypervisor.pdf" TargetMode="External"/><Relationship Id="rId42" Type="http://schemas.openxmlformats.org/officeDocument/2006/relationships/hyperlink" Target="https://www.gov.uk/government/publications/hmg-personnel-security-controls" TargetMode="External"/><Relationship Id="rId47" Type="http://schemas.openxmlformats.org/officeDocument/2006/relationships/header" Target="header1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9.xml"/><Relationship Id="rId11" Type="http://schemas.openxmlformats.org/officeDocument/2006/relationships/footer" Target="footer1.xml"/><Relationship Id="rId24" Type="http://schemas.openxmlformats.org/officeDocument/2006/relationships/hyperlink" Target="https://www.gov.uk/service-manual/technology/code-of-practice.html" TargetMode="External"/><Relationship Id="rId32" Type="http://schemas.openxmlformats.org/officeDocument/2006/relationships/hyperlink" Target="https://www.ncsc.gov.uk/guidance/secure-sanitisation-storage-media" TargetMode="External"/><Relationship Id="rId37" Type="http://schemas.openxmlformats.org/officeDocument/2006/relationships/header" Target="header11.xml"/><Relationship Id="rId40" Type="http://schemas.openxmlformats.org/officeDocument/2006/relationships/footer" Target="footer4.xml"/><Relationship Id="rId45" Type="http://schemas.openxmlformats.org/officeDocument/2006/relationships/hyperlink" Target="https://assets.publishing.service.gov.uk/government/uploads/system/uploads/attachment_data/file/691106/dwp-ss009-security-standard-hypervisor.pdf"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yperlink" Target="http://standards.data.gov.uk/" TargetMode="External"/><Relationship Id="rId28" Type="http://schemas.openxmlformats.org/officeDocument/2006/relationships/header" Target="header8.xml"/><Relationship Id="rId36" Type="http://schemas.openxmlformats.org/officeDocument/2006/relationships/header" Target="header10.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gov.uk/government/publications/framework-generic-guidance-provider-guidance" TargetMode="External"/><Relationship Id="rId31" Type="http://schemas.openxmlformats.org/officeDocument/2006/relationships/hyperlink" Target="https://www.gov.uk/government/publications/hmg-personnel-security-controls" TargetMode="External"/><Relationship Id="rId44" Type="http://schemas.openxmlformats.org/officeDocument/2006/relationships/hyperlink" Target="https://www.gov.uk/government/publications/dwp-procurement-security-policies-and-standard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7.xml"/><Relationship Id="rId27" Type="http://schemas.openxmlformats.org/officeDocument/2006/relationships/hyperlink" Target="https://www.gov.uk/government/publications/greening-government-ict-strategy" TargetMode="External"/><Relationship Id="rId30" Type="http://schemas.openxmlformats.org/officeDocument/2006/relationships/hyperlink" Target="https://www.gov.uk/government/publications/dwp-procurement-security-policies-and-standards" TargetMode="External"/><Relationship Id="rId35" Type="http://schemas.openxmlformats.org/officeDocument/2006/relationships/hyperlink" Target="https://assets.publishing.service.gov.uk/government/uploads/system/uploads/attachment_data/file/793745/dwp-ss013-security-standard-firewall-security.pdf" TargetMode="External"/><Relationship Id="rId43" Type="http://schemas.openxmlformats.org/officeDocument/2006/relationships/hyperlink" Target="https://www.ncsc.gov.uk/guidance/secure-sanitisation-storage-media" TargetMode="External"/><Relationship Id="rId48" Type="http://schemas.openxmlformats.org/officeDocument/2006/relationships/header" Target="header1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government/publications/open-standards-principles/open-standards-principles" TargetMode="External"/><Relationship Id="rId33" Type="http://schemas.openxmlformats.org/officeDocument/2006/relationships/hyperlink" Target="https://www.gov.uk/government/publications/dwp-procurement-security-policies-and-standards" TargetMode="External"/><Relationship Id="rId38" Type="http://schemas.openxmlformats.org/officeDocument/2006/relationships/footer" Target="footer3.xml"/><Relationship Id="rId46" Type="http://schemas.openxmlformats.org/officeDocument/2006/relationships/hyperlink" Target="https://assets.publishing.service.gov.uk/government/uploads/system/uploads/attachment_data/file/793745/dwp-ss013-security-standard-firewall-security.pdf" TargetMode="External"/><Relationship Id="rId20" Type="http://schemas.openxmlformats.org/officeDocument/2006/relationships/header" Target="header5.xml"/><Relationship Id="rId41" Type="http://schemas.openxmlformats.org/officeDocument/2006/relationships/hyperlink" Target="https://www.gov.uk/government/publications/dwp-procurement-security-policies-and-standards"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67988D-5608-4238-ABEF-BF7439CD1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TotalTime>
  <Pages>38</Pages>
  <Words>11517</Words>
  <Characters>66146</Characters>
  <Application>Microsoft Office Word</Application>
  <DocSecurity>0</DocSecurity>
  <Lines>551</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77508</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Drury Kate CIVIL SERVICE HR Commercial Directorate</cp:lastModifiedBy>
  <cp:revision>29</cp:revision>
  <cp:lastPrinted>2020-04-21T11:25:00Z</cp:lastPrinted>
  <dcterms:created xsi:type="dcterms:W3CDTF">2020-12-23T12:32:00Z</dcterms:created>
  <dcterms:modified xsi:type="dcterms:W3CDTF">2021-05-24T15:11:00Z</dcterms:modified>
</cp:coreProperties>
</file>